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35600" w14:textId="55090A99" w:rsidR="000E7947" w:rsidRDefault="000E7947" w:rsidP="00682AC6">
      <w:pPr>
        <w:rPr>
          <w:b/>
          <w:bCs/>
          <w:sz w:val="28"/>
          <w:szCs w:val="28"/>
        </w:rPr>
      </w:pPr>
      <w:r>
        <w:rPr>
          <w:b/>
          <w:bCs/>
          <w:noProof/>
          <w:sz w:val="28"/>
          <w:szCs w:val="28"/>
        </w:rPr>
        <w:drawing>
          <wp:inline distT="0" distB="0" distL="0" distR="0" wp14:anchorId="56E862AD" wp14:editId="1D4F20C2">
            <wp:extent cx="2571750" cy="721435"/>
            <wp:effectExtent l="0" t="0" r="0" b="2540"/>
            <wp:docPr id="2058031412" name="Picture 2" descr="A green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31412" name="Picture 2" descr="A green and purpl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4279" cy="738976"/>
                    </a:xfrm>
                    <a:prstGeom prst="rect">
                      <a:avLst/>
                    </a:prstGeom>
                  </pic:spPr>
                </pic:pic>
              </a:graphicData>
            </a:graphic>
          </wp:inline>
        </w:drawing>
      </w:r>
    </w:p>
    <w:p w14:paraId="555F328A" w14:textId="77777777" w:rsidR="007464BC" w:rsidRDefault="007464BC" w:rsidP="00682AC6">
      <w:pPr>
        <w:rPr>
          <w:b/>
          <w:bCs/>
          <w:sz w:val="40"/>
          <w:szCs w:val="40"/>
        </w:rPr>
      </w:pPr>
    </w:p>
    <w:p w14:paraId="20C624A3" w14:textId="39C4FE5E" w:rsidR="00682AC6" w:rsidRPr="00682AC6" w:rsidRDefault="00682AC6" w:rsidP="00682AC6">
      <w:pPr>
        <w:rPr>
          <w:b/>
          <w:bCs/>
          <w:sz w:val="40"/>
          <w:szCs w:val="40"/>
        </w:rPr>
      </w:pPr>
      <w:r w:rsidRPr="00682AC6">
        <w:rPr>
          <w:b/>
          <w:bCs/>
          <w:sz w:val="40"/>
          <w:szCs w:val="40"/>
        </w:rPr>
        <w:t>GAPTC Devolution Consultation Report</w:t>
      </w:r>
    </w:p>
    <w:p w14:paraId="6C783A4F" w14:textId="77777777" w:rsidR="00682AC6" w:rsidRPr="00682AC6" w:rsidRDefault="00682AC6" w:rsidP="00682AC6">
      <w:pPr>
        <w:rPr>
          <w:b/>
          <w:bCs/>
          <w:color w:val="808080" w:themeColor="background1" w:themeShade="80"/>
          <w:sz w:val="32"/>
          <w:szCs w:val="32"/>
        </w:rPr>
      </w:pPr>
      <w:r w:rsidRPr="00682AC6">
        <w:rPr>
          <w:b/>
          <w:bCs/>
          <w:color w:val="808080" w:themeColor="background1" w:themeShade="80"/>
          <w:sz w:val="32"/>
          <w:szCs w:val="32"/>
        </w:rPr>
        <w:t>Understanding Readiness, Risks and Priorities for Parish and Town Councils in Gloucestershire</w:t>
      </w:r>
    </w:p>
    <w:p w14:paraId="7111550A" w14:textId="2B5A3563" w:rsidR="000E7947" w:rsidRDefault="007464BC" w:rsidP="004F6A54">
      <w:pP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3EBEDBE6" wp14:editId="3CD4F2A5">
                <wp:simplePos x="0" y="0"/>
                <wp:positionH relativeFrom="margin">
                  <wp:align>left</wp:align>
                </wp:positionH>
                <wp:positionV relativeFrom="paragraph">
                  <wp:posOffset>137160</wp:posOffset>
                </wp:positionV>
                <wp:extent cx="5759450" cy="0"/>
                <wp:effectExtent l="0" t="0" r="0" b="0"/>
                <wp:wrapNone/>
                <wp:docPr id="1251506825" name="Straight Connector 3"/>
                <wp:cNvGraphicFramePr/>
                <a:graphic xmlns:a="http://schemas.openxmlformats.org/drawingml/2006/main">
                  <a:graphicData uri="http://schemas.microsoft.com/office/word/2010/wordprocessingShape">
                    <wps:wsp>
                      <wps:cNvCnPr/>
                      <wps:spPr>
                        <a:xfrm flipV="1">
                          <a:off x="0" y="0"/>
                          <a:ext cx="5759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AE184" id="Straight Connector 3"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8pt" to="45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" strokecolor="#196b24 [3206]" strokeweight=".5pt">
                <v:stroke joinstyle="miter"/>
                <w10:wrap anchorx="margin"/>
              </v:line>
            </w:pict>
          </mc:Fallback>
        </mc:AlternateContent>
      </w:r>
    </w:p>
    <w:p w14:paraId="514FBF21" w14:textId="4E1E0778" w:rsidR="004F6A54" w:rsidRPr="004F6A54" w:rsidRDefault="004F6A54" w:rsidP="004F6A54">
      <w:pPr>
        <w:rPr>
          <w:b/>
          <w:bCs/>
          <w:sz w:val="28"/>
          <w:szCs w:val="28"/>
        </w:rPr>
      </w:pPr>
      <w:r w:rsidRPr="004F6A54">
        <w:rPr>
          <w:b/>
          <w:bCs/>
          <w:sz w:val="28"/>
          <w:szCs w:val="28"/>
        </w:rPr>
        <w:t>Executive Summary</w:t>
      </w:r>
    </w:p>
    <w:p w14:paraId="7B642F20" w14:textId="1855ACA6" w:rsidR="004F6A54" w:rsidRPr="004F6A54" w:rsidRDefault="004F6A54" w:rsidP="004F6A54">
      <w:r w:rsidRPr="004F6A54">
        <w:t>In early 2025, GAPTC conducted a countywide consultation to understand how parish and town councils in Gloucestershire perceive and are preparing for potential changes under local governance reform and devolution. The consultation sought to explore councils' awareness of current proposals, assess their readiness to assume new responsibilities, identify priority concerns and shape the support required during this transition.</w:t>
      </w:r>
    </w:p>
    <w:p w14:paraId="4D70CC2B" w14:textId="531B53D4" w:rsidR="004F6A54" w:rsidRPr="004F6A54" w:rsidRDefault="004F6A54" w:rsidP="004F6A54">
      <w:r w:rsidRPr="004F6A54">
        <w:t xml:space="preserve">A total of </w:t>
      </w:r>
      <w:r w:rsidRPr="004F6A54">
        <w:rPr>
          <w:b/>
          <w:bCs/>
        </w:rPr>
        <w:t>102 responses</w:t>
      </w:r>
      <w:r w:rsidRPr="004F6A54">
        <w:t xml:space="preserve"> were received, with </w:t>
      </w:r>
      <w:r w:rsidRPr="004F6A54">
        <w:rPr>
          <w:b/>
          <w:bCs/>
        </w:rPr>
        <w:t>75 responses</w:t>
      </w:r>
      <w:r w:rsidRPr="004F6A54">
        <w:t xml:space="preserve"> verified as representing either full councils or the combined</w:t>
      </w:r>
      <w:r w:rsidR="002A23B7">
        <w:t xml:space="preserve"> or individual</w:t>
      </w:r>
      <w:r w:rsidRPr="004F6A54">
        <w:t xml:space="preserve"> input of officers and councillors. These 75 councils account for around </w:t>
      </w:r>
      <w:r w:rsidRPr="004F6A54">
        <w:rPr>
          <w:b/>
          <w:bCs/>
        </w:rPr>
        <w:t>28% of Gloucestershire’s local councils</w:t>
      </w:r>
      <w:r w:rsidRPr="004F6A54">
        <w:t>, providing a strong and diverse basis for assessing sector sentiment.</w:t>
      </w:r>
    </w:p>
    <w:p w14:paraId="7B557D09" w14:textId="5A6BC567" w:rsidR="004F6A54" w:rsidRPr="004F6A54" w:rsidRDefault="004F6A54" w:rsidP="004F6A54">
      <w:r w:rsidRPr="004F6A54">
        <w:t>The findings suggest a complex and varied picture. While many councils express a willingness to collaborate and recognise the potential value of devolution, there are deep concerns about funding, staffing capacity, democratic legitimacy and the lack of clarity around what changes will entail. Smaller councils in particular highlight the risk of being left behind if resources and expectations are not appropriately matched.</w:t>
      </w:r>
    </w:p>
    <w:p w14:paraId="19AAC64C" w14:textId="77777777" w:rsidR="004F6A54" w:rsidRPr="004F6A54" w:rsidRDefault="004F6A54" w:rsidP="004F6A54">
      <w:r w:rsidRPr="004F6A54">
        <w:t>Headline observations include:</w:t>
      </w:r>
    </w:p>
    <w:p w14:paraId="4786072F" w14:textId="3F2D0E67" w:rsidR="004F6A54" w:rsidRPr="004F6A54" w:rsidRDefault="002A23B7" w:rsidP="004F6A54">
      <w:pPr>
        <w:numPr>
          <w:ilvl w:val="0"/>
          <w:numId w:val="73"/>
        </w:numPr>
      </w:pPr>
      <w:r>
        <w:rPr>
          <w:b/>
          <w:bCs/>
        </w:rPr>
        <w:t>Just over half</w:t>
      </w:r>
      <w:r w:rsidR="004F6A54" w:rsidRPr="004F6A54">
        <w:rPr>
          <w:b/>
          <w:bCs/>
        </w:rPr>
        <w:t xml:space="preserve"> are open to taking on new responsibilities</w:t>
      </w:r>
      <w:r w:rsidR="004F6A54" w:rsidRPr="004F6A54">
        <w:t>, but most qualify this with conditions around support and funding.</w:t>
      </w:r>
    </w:p>
    <w:p w14:paraId="7BCE6B0A" w14:textId="77777777" w:rsidR="004F6A54" w:rsidRPr="004F6A54" w:rsidRDefault="004F6A54" w:rsidP="004F6A54">
      <w:pPr>
        <w:numPr>
          <w:ilvl w:val="0"/>
          <w:numId w:val="73"/>
        </w:numPr>
      </w:pPr>
      <w:r w:rsidRPr="004F6A54">
        <w:rPr>
          <w:b/>
          <w:bCs/>
        </w:rPr>
        <w:t>Two-thirds are concerned about the financial implications</w:t>
      </w:r>
      <w:r w:rsidRPr="004F6A54">
        <w:t xml:space="preserve"> of devolution, and many reject raising the precept without clear justification.</w:t>
      </w:r>
    </w:p>
    <w:p w14:paraId="38ED5E16" w14:textId="77777777" w:rsidR="004F6A54" w:rsidRPr="004F6A54" w:rsidRDefault="004F6A54" w:rsidP="004F6A54">
      <w:pPr>
        <w:numPr>
          <w:ilvl w:val="0"/>
          <w:numId w:val="73"/>
        </w:numPr>
      </w:pPr>
      <w:r w:rsidRPr="004F6A54">
        <w:rPr>
          <w:b/>
          <w:bCs/>
        </w:rPr>
        <w:t>Over half say they do not currently have the capacity</w:t>
      </w:r>
      <w:r w:rsidRPr="004F6A54">
        <w:t xml:space="preserve"> to take on new functions without significant support.</w:t>
      </w:r>
    </w:p>
    <w:p w14:paraId="053F4AC9" w14:textId="10A14037" w:rsidR="004F6A54" w:rsidRPr="004F6A54" w:rsidRDefault="002A23B7" w:rsidP="004F6A54">
      <w:pPr>
        <w:numPr>
          <w:ilvl w:val="0"/>
          <w:numId w:val="73"/>
        </w:numPr>
      </w:pPr>
      <w:r>
        <w:rPr>
          <w:b/>
          <w:bCs/>
        </w:rPr>
        <w:t>The majority</w:t>
      </w:r>
      <w:r w:rsidR="004F6A54" w:rsidRPr="004F6A54">
        <w:rPr>
          <w:b/>
          <w:bCs/>
        </w:rPr>
        <w:t xml:space="preserve"> were unsure</w:t>
      </w:r>
      <w:r w:rsidR="004F6A54" w:rsidRPr="004F6A54">
        <w:t xml:space="preserve"> what governance model they would prefer for future neighbourhood arrangements, reflecting widespread uncertainty.</w:t>
      </w:r>
    </w:p>
    <w:p w14:paraId="6824BDDC" w14:textId="77777777" w:rsidR="004F6A54" w:rsidRPr="004F6A54" w:rsidRDefault="004F6A54" w:rsidP="004F6A54">
      <w:pPr>
        <w:numPr>
          <w:ilvl w:val="0"/>
          <w:numId w:val="73"/>
        </w:numPr>
      </w:pPr>
      <w:r w:rsidRPr="004F6A54">
        <w:t xml:space="preserve">Councils overwhelmingly request </w:t>
      </w:r>
      <w:r w:rsidRPr="004F6A54">
        <w:rPr>
          <w:b/>
          <w:bCs/>
        </w:rPr>
        <w:t>full funding for ongoing costs</w:t>
      </w:r>
      <w:r w:rsidRPr="004F6A54">
        <w:t>, not just initial handovers, and raise concerns about double taxation and loss of local control.</w:t>
      </w:r>
    </w:p>
    <w:p w14:paraId="64948DA4" w14:textId="152936EE" w:rsidR="004F6A54" w:rsidRPr="004F6A54" w:rsidRDefault="004F6A54" w:rsidP="004F6A54">
      <w:r w:rsidRPr="004F6A54">
        <w:lastRenderedPageBreak/>
        <w:t>Thematic insights drawn from open-text responses illustrate not only the diversity of council experiences, but also a shared desire for clearer communication, phased implementation and genuine engagement from higher-tier authorities.</w:t>
      </w:r>
    </w:p>
    <w:p w14:paraId="320ABBEC" w14:textId="7E0EF4C1" w:rsidR="004F6A54" w:rsidRDefault="004F6A54" w:rsidP="004F6A54">
      <w:r w:rsidRPr="004F6A54">
        <w:t>This report offers both statistical summaries and qualitative insight to guide GAPTC, principal authorities and partners in building a more informed and equitable approach to local government reorganisation.</w:t>
      </w:r>
      <w:r w:rsidR="000E7947">
        <w:t xml:space="preserve"> </w:t>
      </w:r>
      <w:r w:rsidR="000E7947" w:rsidRPr="000E7947">
        <w:t>The</w:t>
      </w:r>
      <w:r w:rsidR="000E7947">
        <w:t xml:space="preserve"> findings </w:t>
      </w:r>
      <w:r w:rsidR="000E7947" w:rsidRPr="000E7947">
        <w:t xml:space="preserve">will inform GAPTC’s </w:t>
      </w:r>
      <w:r w:rsidR="000E7947">
        <w:t xml:space="preserve">member </w:t>
      </w:r>
      <w:r w:rsidR="000E7947" w:rsidRPr="000E7947">
        <w:t xml:space="preserve">support, shape conversations with </w:t>
      </w:r>
      <w:r w:rsidR="000E7947">
        <w:t>county and district</w:t>
      </w:r>
      <w:r w:rsidR="000E7947" w:rsidRPr="000E7947">
        <w:t xml:space="preserve"> authorities and provide a robust evidence base for future planning</w:t>
      </w:r>
      <w:r w:rsidR="000E7947">
        <w:t>.</w:t>
      </w:r>
    </w:p>
    <w:p w14:paraId="38255A85" w14:textId="7D30E4E3" w:rsidR="00C5466A" w:rsidRDefault="00C5466A" w:rsidP="004F6A54">
      <w:r w:rsidRPr="00C5466A">
        <w:t>While the findings cannot represent every council in Gloucestershire, the 75 verified responses offer a strong cross-section across all districts and council sizes</w:t>
      </w:r>
    </w:p>
    <w:p w14:paraId="7A0CC1AD" w14:textId="77777777" w:rsidR="00904815" w:rsidRDefault="007464BC" w:rsidP="004D4BC9">
      <w:pPr>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14:anchorId="20CD93CA" wp14:editId="0FEB4733">
                <wp:simplePos x="0" y="0"/>
                <wp:positionH relativeFrom="margin">
                  <wp:align>left</wp:align>
                </wp:positionH>
                <wp:positionV relativeFrom="paragraph">
                  <wp:posOffset>5715</wp:posOffset>
                </wp:positionV>
                <wp:extent cx="5759450" cy="0"/>
                <wp:effectExtent l="0" t="0" r="0" b="0"/>
                <wp:wrapNone/>
                <wp:docPr id="1805466571" name="Straight Connector 3"/>
                <wp:cNvGraphicFramePr/>
                <a:graphic xmlns:a="http://schemas.openxmlformats.org/drawingml/2006/main">
                  <a:graphicData uri="http://schemas.microsoft.com/office/word/2010/wordprocessingShape">
                    <wps:wsp>
                      <wps:cNvCnPr/>
                      <wps:spPr>
                        <a:xfrm flipV="1">
                          <a:off x="0" y="0"/>
                          <a:ext cx="5759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4341E" id="Straight Connector 3"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45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" strokecolor="#196b24 [3206]" strokeweight=".5pt">
                <v:stroke joinstyle="miter"/>
                <w10:wrap anchorx="margin"/>
              </v:line>
            </w:pict>
          </mc:Fallback>
        </mc:AlternateContent>
      </w:r>
    </w:p>
    <w:p w14:paraId="4D4874D5" w14:textId="39C5F31F" w:rsidR="004D4BC9" w:rsidRPr="004D4BC9" w:rsidRDefault="004D4BC9" w:rsidP="004D4BC9">
      <w:pPr>
        <w:rPr>
          <w:b/>
          <w:bCs/>
          <w:sz w:val="28"/>
          <w:szCs w:val="28"/>
        </w:rPr>
      </w:pPr>
      <w:r w:rsidRPr="004D4BC9">
        <w:rPr>
          <w:b/>
          <w:bCs/>
          <w:sz w:val="28"/>
          <w:szCs w:val="28"/>
        </w:rPr>
        <w:t>Introduction and Context</w:t>
      </w:r>
    </w:p>
    <w:p w14:paraId="6FB6F5A7" w14:textId="70705400" w:rsidR="004D4BC9" w:rsidRPr="004D4BC9" w:rsidRDefault="004D4BC9" w:rsidP="004D4BC9">
      <w:r w:rsidRPr="004D4BC9">
        <w:t>Th</w:t>
      </w:r>
      <w:r w:rsidR="002A23B7">
        <w:t>ere are</w:t>
      </w:r>
      <w:r w:rsidRPr="004D4BC9">
        <w:t xml:space="preserve"> 267 local councils in the county (including 39 Parish Meetings), </w:t>
      </w:r>
      <w:r w:rsidR="002A23B7" w:rsidRPr="002A23B7">
        <w:rPr>
          <w:highlight w:val="yellow"/>
        </w:rPr>
        <w:t>[how many residents they represent and what total value of precept raised],</w:t>
      </w:r>
      <w:r w:rsidR="002A23B7">
        <w:t xml:space="preserve"> thus </w:t>
      </w:r>
      <w:r w:rsidRPr="004D4BC9">
        <w:t xml:space="preserve">any future restructuring </w:t>
      </w:r>
      <w:r w:rsidR="002A23B7">
        <w:t>should</w:t>
      </w:r>
      <w:r w:rsidRPr="004D4BC9">
        <w:t xml:space="preserve"> require active participation from this tier of government.</w:t>
      </w:r>
    </w:p>
    <w:p w14:paraId="58FB058C" w14:textId="4BD011F2" w:rsidR="004D4BC9" w:rsidRPr="004D4BC9" w:rsidRDefault="004D4BC9" w:rsidP="004D4BC9">
      <w:r w:rsidRPr="004D4BC9">
        <w:t>The survey aim</w:t>
      </w:r>
      <w:r w:rsidR="002A23B7">
        <w:t>s</w:t>
      </w:r>
      <w:r w:rsidRPr="004D4BC9">
        <w:t xml:space="preserve"> to:</w:t>
      </w:r>
    </w:p>
    <w:p w14:paraId="03C1A266" w14:textId="156E1858" w:rsidR="004D4BC9" w:rsidRDefault="004D4BC9" w:rsidP="004D4BC9">
      <w:pPr>
        <w:numPr>
          <w:ilvl w:val="0"/>
          <w:numId w:val="66"/>
        </w:numPr>
      </w:pPr>
      <w:r w:rsidRPr="00DA5DC5">
        <w:rPr>
          <w:b/>
          <w:bCs/>
        </w:rPr>
        <w:t>Assess the current level of preparedness</w:t>
      </w:r>
      <w:r w:rsidRPr="004D4BC9">
        <w:t xml:space="preserve"> across the sector, including </w:t>
      </w:r>
      <w:r>
        <w:t>understanding</w:t>
      </w:r>
      <w:r w:rsidRPr="004D4BC9">
        <w:t>, collaboration, service delivery capacity and governance preferences.</w:t>
      </w:r>
    </w:p>
    <w:p w14:paraId="3110ABB2" w14:textId="409DE0B0" w:rsidR="004D4BC9" w:rsidRPr="004D4BC9" w:rsidRDefault="004D4BC9" w:rsidP="004D4BC9">
      <w:pPr>
        <w:numPr>
          <w:ilvl w:val="0"/>
          <w:numId w:val="66"/>
        </w:numPr>
      </w:pPr>
      <w:r w:rsidRPr="004D4BC9">
        <w:rPr>
          <w:b/>
          <w:bCs/>
        </w:rPr>
        <w:t>Shape training and guidance</w:t>
      </w:r>
      <w:r w:rsidRPr="004D4BC9">
        <w:t xml:space="preserve"> to help councils adapt to new responsibilities;</w:t>
      </w:r>
    </w:p>
    <w:p w14:paraId="67978B5A" w14:textId="77777777" w:rsidR="004D4BC9" w:rsidRPr="004D4BC9" w:rsidRDefault="004D4BC9" w:rsidP="004D4BC9">
      <w:pPr>
        <w:numPr>
          <w:ilvl w:val="0"/>
          <w:numId w:val="66"/>
        </w:numPr>
      </w:pPr>
      <w:r w:rsidRPr="004D4BC9">
        <w:rPr>
          <w:b/>
          <w:bCs/>
        </w:rPr>
        <w:t>Support engagement</w:t>
      </w:r>
      <w:r w:rsidRPr="004D4BC9">
        <w:t xml:space="preserve"> in Gloucestershire’s evolving Place Model by identifying capacity and interest at a local level;</w:t>
      </w:r>
    </w:p>
    <w:p w14:paraId="3BC9E4AC" w14:textId="77777777" w:rsidR="004D4BC9" w:rsidRPr="004D4BC9" w:rsidRDefault="004D4BC9" w:rsidP="004D4BC9">
      <w:pPr>
        <w:numPr>
          <w:ilvl w:val="0"/>
          <w:numId w:val="66"/>
        </w:numPr>
      </w:pPr>
      <w:r w:rsidRPr="004D4BC9">
        <w:rPr>
          <w:b/>
          <w:bCs/>
        </w:rPr>
        <w:t>Ensure local councils’ voices are represented</w:t>
      </w:r>
      <w:r w:rsidRPr="004D4BC9">
        <w:t xml:space="preserve"> in county and district conversations around devolution and unitary transition.</w:t>
      </w:r>
    </w:p>
    <w:p w14:paraId="4B566051" w14:textId="5B916E0D" w:rsidR="004D4BC9" w:rsidRPr="004D4BC9" w:rsidRDefault="004D4BC9" w:rsidP="004D4BC9">
      <w:r w:rsidRPr="004D4BC9">
        <w:t xml:space="preserve">A total of </w:t>
      </w:r>
      <w:r w:rsidRPr="004D4BC9">
        <w:rPr>
          <w:b/>
          <w:bCs/>
        </w:rPr>
        <w:t>102 survey responses</w:t>
      </w:r>
      <w:r w:rsidRPr="004D4BC9">
        <w:t xml:space="preserve"> were received. For the purpose of analysis, 75 responses have been grouped into </w:t>
      </w:r>
      <w:r w:rsidR="002A23B7">
        <w:t>two</w:t>
      </w:r>
      <w:r w:rsidRPr="004D4BC9">
        <w:t xml:space="preserve"> datasets to reflect different levels of formality and representation:</w:t>
      </w:r>
    </w:p>
    <w:p w14:paraId="4BB9E85B" w14:textId="5BCA113B" w:rsidR="004D4BC9" w:rsidRPr="004D4BC9" w:rsidRDefault="004D4BC9" w:rsidP="004D4BC9">
      <w:pPr>
        <w:numPr>
          <w:ilvl w:val="0"/>
          <w:numId w:val="67"/>
        </w:numPr>
      </w:pPr>
      <w:r w:rsidRPr="004D4BC9">
        <w:rPr>
          <w:b/>
          <w:bCs/>
        </w:rPr>
        <w:t>Primary dataset (34 responses)</w:t>
      </w:r>
      <w:r w:rsidRPr="004D4BC9">
        <w:t>: Full council submissions or collated input from multiple representatives</w:t>
      </w:r>
      <w:r w:rsidR="00EC04F3">
        <w:t xml:space="preserve"> of the same council</w:t>
      </w:r>
      <w:r w:rsidRPr="004D4BC9">
        <w:t xml:space="preserve"> (e.g. clerk and councillors). These tend to come from better-resourced or more actively engaged councils.</w:t>
      </w:r>
    </w:p>
    <w:p w14:paraId="2D8FB316" w14:textId="642C03AB" w:rsidR="004D4BC9" w:rsidRPr="004D4BC9" w:rsidRDefault="004D4BC9" w:rsidP="00B611B3">
      <w:pPr>
        <w:numPr>
          <w:ilvl w:val="0"/>
          <w:numId w:val="67"/>
        </w:numPr>
      </w:pPr>
      <w:r w:rsidRPr="004D4BC9">
        <w:rPr>
          <w:b/>
          <w:bCs/>
        </w:rPr>
        <w:t>Secondary dataset (</w:t>
      </w:r>
      <w:r w:rsidR="00DA5DC5" w:rsidRPr="00DA5DC5">
        <w:rPr>
          <w:b/>
          <w:bCs/>
        </w:rPr>
        <w:t>41</w:t>
      </w:r>
      <w:r w:rsidRPr="004D4BC9">
        <w:rPr>
          <w:b/>
          <w:bCs/>
        </w:rPr>
        <w:t xml:space="preserve"> responses)</w:t>
      </w:r>
      <w:r w:rsidRPr="004D4BC9">
        <w:t xml:space="preserve">: </w:t>
      </w:r>
      <w:r w:rsidR="00EC04F3">
        <w:t>Single submissions per council from</w:t>
      </w:r>
      <w:r w:rsidRPr="004D4BC9">
        <w:t xml:space="preserve"> clerks</w:t>
      </w:r>
      <w:r w:rsidR="00DA5DC5">
        <w:t>, other</w:t>
      </w:r>
      <w:r w:rsidRPr="004D4BC9">
        <w:t xml:space="preserve"> officers</w:t>
      </w:r>
      <w:r w:rsidR="00DA5DC5">
        <w:t>, or individual councillors</w:t>
      </w:r>
      <w:r w:rsidRPr="004D4BC9">
        <w:t xml:space="preserve"> without a formal </w:t>
      </w:r>
      <w:r w:rsidR="00DA5DC5">
        <w:t xml:space="preserve">full </w:t>
      </w:r>
      <w:r w:rsidRPr="004D4BC9">
        <w:t>council mandate, but offering clear insight into capacity, delivery and concerns</w:t>
      </w:r>
      <w:r w:rsidR="00E50E70">
        <w:t xml:space="preserve">, </w:t>
      </w:r>
      <w:r w:rsidRPr="004D4BC9">
        <w:t>providing valuable personal perspectives</w:t>
      </w:r>
      <w:r w:rsidR="00E50E70">
        <w:t>.</w:t>
      </w:r>
    </w:p>
    <w:p w14:paraId="7CD60BEF" w14:textId="2150F7D4" w:rsidR="004D4BC9" w:rsidRPr="004D4BC9" w:rsidRDefault="004D4BC9" w:rsidP="004D4BC9">
      <w:r w:rsidRPr="004D4BC9">
        <w:t xml:space="preserve">Together, the </w:t>
      </w:r>
      <w:r w:rsidRPr="004D4BC9">
        <w:rPr>
          <w:b/>
          <w:bCs/>
        </w:rPr>
        <w:t xml:space="preserve">75 </w:t>
      </w:r>
      <w:r w:rsidR="00DA5DC5" w:rsidRPr="00DA5DC5">
        <w:rPr>
          <w:b/>
          <w:bCs/>
        </w:rPr>
        <w:t xml:space="preserve">unique </w:t>
      </w:r>
      <w:r w:rsidRPr="004D4BC9">
        <w:rPr>
          <w:b/>
          <w:bCs/>
        </w:rPr>
        <w:t>council</w:t>
      </w:r>
      <w:r w:rsidR="00DA5DC5" w:rsidRPr="00DA5DC5">
        <w:rPr>
          <w:b/>
          <w:bCs/>
        </w:rPr>
        <w:t xml:space="preserve"> responses</w:t>
      </w:r>
      <w:r w:rsidRPr="004D4BC9">
        <w:t xml:space="preserve"> represent around 28% of Gloucestershire’s local councils, offering a strong and diverse sample across the county.</w:t>
      </w:r>
    </w:p>
    <w:p w14:paraId="600153F4" w14:textId="172099C0" w:rsidR="00DA5DC5" w:rsidRPr="00DA5DC5" w:rsidRDefault="00DA5DC5" w:rsidP="00DA5DC5">
      <w:r w:rsidRPr="00DA5DC5">
        <w:t xml:space="preserve">This </w:t>
      </w:r>
      <w:r>
        <w:t>report provides q</w:t>
      </w:r>
      <w:r w:rsidRPr="00DA5DC5">
        <w:t>uantitative figures drawn from all 75 responses to provide a countywide picture. Comparative breakdowns by council size and district are included in the appendix</w:t>
      </w:r>
      <w:r>
        <w:t xml:space="preserve">, along with a comparison </w:t>
      </w:r>
      <w:r w:rsidR="00EC04F3">
        <w:t xml:space="preserve">between </w:t>
      </w:r>
      <w:r w:rsidR="00E50E70">
        <w:t xml:space="preserve">the </w:t>
      </w:r>
      <w:r>
        <w:t>Primary dataset</w:t>
      </w:r>
      <w:r w:rsidR="00E50E70">
        <w:t xml:space="preserve"> and 75 Unique council responses.</w:t>
      </w:r>
    </w:p>
    <w:p w14:paraId="2DFEB17A" w14:textId="58B71917" w:rsidR="00DA5DC5" w:rsidRPr="00DA5DC5" w:rsidRDefault="00DA5DC5" w:rsidP="00DA5DC5">
      <w:r w:rsidRPr="00DA5DC5">
        <w:lastRenderedPageBreak/>
        <w:t>Qualitative insights are drawn from open-text answers across all 102 entries and are grouped thematically to highlight recurring issues such as funding, governance, capacity and democratic legitimacy. Anonymised quotes are included to add depth and reflect the range of voices engaged.</w:t>
      </w:r>
    </w:p>
    <w:p w14:paraId="1EEB5623" w14:textId="77777777" w:rsidR="00DA5DC5" w:rsidRDefault="00DA5DC5" w:rsidP="00DA5DC5">
      <w:r w:rsidRPr="00DA5DC5">
        <w:t>This blended method offers both statistical clarity and narrative insight—grounding the findings in the organisational confidence of full councils while incorporating the lived perspectives of clerks and councillors.</w:t>
      </w:r>
    </w:p>
    <w:p w14:paraId="6481159D" w14:textId="4D692AD9" w:rsidR="007464BC" w:rsidRDefault="007464BC" w:rsidP="00DA5DC5">
      <w:r>
        <w:rPr>
          <w:b/>
          <w:bCs/>
          <w:noProof/>
          <w:sz w:val="28"/>
          <w:szCs w:val="28"/>
        </w:rPr>
        <mc:AlternateContent>
          <mc:Choice Requires="wps">
            <w:drawing>
              <wp:anchor distT="0" distB="0" distL="114300" distR="114300" simplePos="0" relativeHeight="251663360" behindDoc="0" locked="0" layoutInCell="1" allowOverlap="1" wp14:anchorId="421D5667" wp14:editId="37239314">
                <wp:simplePos x="0" y="0"/>
                <wp:positionH relativeFrom="margin">
                  <wp:posOffset>0</wp:posOffset>
                </wp:positionH>
                <wp:positionV relativeFrom="paragraph">
                  <wp:posOffset>6350</wp:posOffset>
                </wp:positionV>
                <wp:extent cx="5759450" cy="0"/>
                <wp:effectExtent l="0" t="0" r="0" b="0"/>
                <wp:wrapNone/>
                <wp:docPr id="898327614" name="Straight Connector 3"/>
                <wp:cNvGraphicFramePr/>
                <a:graphic xmlns:a="http://schemas.openxmlformats.org/drawingml/2006/main">
                  <a:graphicData uri="http://schemas.microsoft.com/office/word/2010/wordprocessingShape">
                    <wps:wsp>
                      <wps:cNvCnPr/>
                      <wps:spPr>
                        <a:xfrm flipV="1">
                          <a:off x="0" y="0"/>
                          <a:ext cx="5759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084B7"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 to="45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" strokecolor="#196b24 [3206]" strokeweight=".5pt">
                <v:stroke joinstyle="miter"/>
                <w10:wrap anchorx="margin"/>
              </v:line>
            </w:pict>
          </mc:Fallback>
        </mc:AlternateContent>
      </w:r>
    </w:p>
    <w:p w14:paraId="49E4BCEF" w14:textId="77777777" w:rsidR="00682AC6" w:rsidRPr="00682AC6" w:rsidRDefault="00682AC6" w:rsidP="00682AC6">
      <w:pPr>
        <w:rPr>
          <w:b/>
          <w:bCs/>
          <w:sz w:val="28"/>
          <w:szCs w:val="28"/>
        </w:rPr>
      </w:pPr>
      <w:r w:rsidRPr="00682AC6">
        <w:rPr>
          <w:b/>
          <w:bCs/>
          <w:sz w:val="28"/>
          <w:szCs w:val="28"/>
        </w:rPr>
        <w:t>Thematic Analysis and Insights</w:t>
      </w:r>
    </w:p>
    <w:p w14:paraId="673101AD" w14:textId="1F1E7FED" w:rsidR="00682AC6" w:rsidRPr="00682AC6" w:rsidRDefault="00682AC6" w:rsidP="00682AC6">
      <w:r w:rsidRPr="00682AC6">
        <w:t>The following section presents a structured analysis of key themes emerging from the consultation, combining statistical responses with narrative insight from parish and town councils across Gloucestershire. Each theme is supported by relevant dat</w:t>
      </w:r>
      <w:r w:rsidR="00EC04F3">
        <w:t>a</w:t>
      </w:r>
      <w:r w:rsidRPr="00682AC6">
        <w:t xml:space="preserve"> and commentary on its implications for the sector’s readiness and support needs.</w:t>
      </w:r>
    </w:p>
    <w:p w14:paraId="236C54D3" w14:textId="0A6767FA" w:rsidR="00B370E3" w:rsidRPr="00B370E3" w:rsidRDefault="00B370E3" w:rsidP="00B370E3">
      <w:pPr>
        <w:rPr>
          <w:b/>
          <w:bCs/>
          <w:color w:val="808080" w:themeColor="background1" w:themeShade="80"/>
          <w:sz w:val="28"/>
          <w:szCs w:val="28"/>
        </w:rPr>
      </w:pPr>
      <w:r w:rsidRPr="00B370E3">
        <w:rPr>
          <w:b/>
          <w:bCs/>
          <w:color w:val="808080" w:themeColor="background1" w:themeShade="80"/>
          <w:sz w:val="28"/>
          <w:szCs w:val="28"/>
        </w:rPr>
        <w:t>Understanding LGR and Anticipated Impact on Communities</w:t>
      </w:r>
    </w:p>
    <w:p w14:paraId="0DFEDA07" w14:textId="269003AF" w:rsidR="00B370E3" w:rsidRPr="00B370E3" w:rsidRDefault="00B370E3" w:rsidP="00B370E3">
      <w:r w:rsidRPr="00B370E3">
        <w:t xml:space="preserve">This section examines how parish and town councils perceive the concept of devolution and the implications of Local Government Reorganisation (LGR), </w:t>
      </w:r>
      <w:r w:rsidR="00EC04F3">
        <w:t>and</w:t>
      </w:r>
      <w:r w:rsidRPr="00B370E3">
        <w:t xml:space="preserve"> the </w:t>
      </w:r>
      <w:r w:rsidR="00EC04F3">
        <w:t>proposed</w:t>
      </w:r>
      <w:r w:rsidRPr="00B370E3">
        <w:t xml:space="preserve"> new unitary authorities</w:t>
      </w:r>
      <w:r w:rsidR="00EC04F3">
        <w:t>.</w:t>
      </w:r>
    </w:p>
    <w:p w14:paraId="04FEFAF0" w14:textId="6EA563FF" w:rsidR="00B370E3" w:rsidRPr="00B370E3" w:rsidRDefault="00B370E3" w:rsidP="00B370E3">
      <w:r w:rsidRPr="00B370E3">
        <w:t xml:space="preserve">As LGR conversations progress, understanding how councils interpret these shifts — and whether they anticipate material changes in their communities — is critical. </w:t>
      </w:r>
    </w:p>
    <w:p w14:paraId="50726103" w14:textId="33799D40" w:rsidR="00B370E3" w:rsidRPr="00B370E3" w:rsidRDefault="00B370E3" w:rsidP="00B370E3">
      <w:r w:rsidRPr="00B370E3">
        <w:rPr>
          <w:b/>
          <w:bCs/>
        </w:rPr>
        <w:t>Does your Council understand the concept of devolution of powers and responsibilities from principal authorities to Parish and Town Councils?</w:t>
      </w:r>
    </w:p>
    <w:p w14:paraId="4F007DDD" w14:textId="77777777" w:rsidR="00B370E3" w:rsidRPr="00B370E3" w:rsidRDefault="00B370E3" w:rsidP="00B370E3">
      <w:r w:rsidRPr="00B370E3">
        <w:t>This question tested baseline familiarity with the devolution agenda — the transfer of roles or services from district/county to parish level.</w:t>
      </w:r>
    </w:p>
    <w:p w14:paraId="60E975F4" w14:textId="77777777" w:rsidR="00B370E3" w:rsidRPr="00B370E3" w:rsidRDefault="00B370E3" w:rsidP="00B370E3">
      <w:pPr>
        <w:numPr>
          <w:ilvl w:val="0"/>
          <w:numId w:val="41"/>
        </w:numPr>
      </w:pPr>
      <w:r w:rsidRPr="00B370E3">
        <w:rPr>
          <w:b/>
          <w:bCs/>
        </w:rPr>
        <w:t>4 councils (5%)</w:t>
      </w:r>
      <w:r w:rsidRPr="00B370E3">
        <w:t xml:space="preserve"> – </w:t>
      </w:r>
      <w:r w:rsidRPr="00B370E3">
        <w:rPr>
          <w:i/>
          <w:iCs/>
        </w:rPr>
        <w:t>Very familiar</w:t>
      </w:r>
    </w:p>
    <w:p w14:paraId="775EF657" w14:textId="77777777" w:rsidR="00B370E3" w:rsidRPr="00B370E3" w:rsidRDefault="00B370E3" w:rsidP="00B370E3">
      <w:pPr>
        <w:numPr>
          <w:ilvl w:val="0"/>
          <w:numId w:val="41"/>
        </w:numPr>
      </w:pPr>
      <w:r w:rsidRPr="00B370E3">
        <w:rPr>
          <w:b/>
          <w:bCs/>
        </w:rPr>
        <w:t>28 councils (37%)</w:t>
      </w:r>
      <w:r w:rsidRPr="00B370E3">
        <w:t xml:space="preserve"> – </w:t>
      </w:r>
      <w:r w:rsidRPr="00B370E3">
        <w:rPr>
          <w:i/>
          <w:iCs/>
        </w:rPr>
        <w:t>Somewhat familiar</w:t>
      </w:r>
    </w:p>
    <w:p w14:paraId="111D6C9B" w14:textId="77777777" w:rsidR="00B370E3" w:rsidRPr="00B370E3" w:rsidRDefault="00B370E3" w:rsidP="00B370E3">
      <w:pPr>
        <w:numPr>
          <w:ilvl w:val="0"/>
          <w:numId w:val="41"/>
        </w:numPr>
      </w:pPr>
      <w:r w:rsidRPr="00B370E3">
        <w:rPr>
          <w:b/>
          <w:bCs/>
        </w:rPr>
        <w:t>39 councils (52%)</w:t>
      </w:r>
      <w:r w:rsidRPr="00B370E3">
        <w:t xml:space="preserve"> – </w:t>
      </w:r>
      <w:r w:rsidRPr="00B370E3">
        <w:rPr>
          <w:i/>
          <w:iCs/>
        </w:rPr>
        <w:t>Aware, but unclear on the details</w:t>
      </w:r>
    </w:p>
    <w:p w14:paraId="30DC39AC" w14:textId="77777777" w:rsidR="00B370E3" w:rsidRPr="00B370E3" w:rsidRDefault="00B370E3" w:rsidP="00B370E3">
      <w:pPr>
        <w:numPr>
          <w:ilvl w:val="0"/>
          <w:numId w:val="41"/>
        </w:numPr>
      </w:pPr>
      <w:r w:rsidRPr="00B370E3">
        <w:rPr>
          <w:b/>
          <w:bCs/>
        </w:rPr>
        <w:t>3 councils (4%)</w:t>
      </w:r>
      <w:r w:rsidRPr="00B370E3">
        <w:t xml:space="preserve"> – </w:t>
      </w:r>
      <w:r w:rsidRPr="00B370E3">
        <w:rPr>
          <w:i/>
          <w:iCs/>
        </w:rPr>
        <w:t>Not familiar at all</w:t>
      </w:r>
    </w:p>
    <w:p w14:paraId="0B9D3A47" w14:textId="374CB04F" w:rsidR="00B370E3" w:rsidRPr="00B370E3" w:rsidRDefault="00B370E3" w:rsidP="00B370E3">
      <w:pPr>
        <w:numPr>
          <w:ilvl w:val="0"/>
          <w:numId w:val="41"/>
        </w:numPr>
      </w:pPr>
      <w:r w:rsidRPr="00B370E3">
        <w:rPr>
          <w:b/>
          <w:bCs/>
        </w:rPr>
        <w:t>1 council (1%)</w:t>
      </w:r>
      <w:r w:rsidRPr="00B370E3">
        <w:t xml:space="preserve"> – </w:t>
      </w:r>
      <w:r w:rsidRPr="00B370E3">
        <w:rPr>
          <w:i/>
          <w:iCs/>
        </w:rPr>
        <w:t>No respons</w:t>
      </w:r>
      <w:r w:rsidR="00EC04F3">
        <w:rPr>
          <w:i/>
          <w:iCs/>
        </w:rPr>
        <w:t>e</w:t>
      </w:r>
    </w:p>
    <w:p w14:paraId="29D17183" w14:textId="77777777" w:rsidR="00B370E3" w:rsidRPr="00B370E3" w:rsidRDefault="00B370E3" w:rsidP="00B370E3">
      <w:r w:rsidRPr="00B370E3">
        <w:t>These figures suggest that over half of respondents have only a vague or unclear understanding of the term as used in policy or planning contexts — a key consideration for any future communication or consultation work.</w:t>
      </w:r>
    </w:p>
    <w:p w14:paraId="67BA9E8C" w14:textId="7C536323" w:rsidR="00B370E3" w:rsidRPr="00B370E3" w:rsidRDefault="00B370E3" w:rsidP="00B370E3">
      <w:r w:rsidRPr="00B370E3">
        <w:rPr>
          <w:b/>
          <w:bCs/>
        </w:rPr>
        <w:t>Does your Council anticipate that changes to local government structures (including potential future unitary authorities) could impact your community?</w:t>
      </w:r>
    </w:p>
    <w:p w14:paraId="7D616075" w14:textId="77777777" w:rsidR="00B370E3" w:rsidRPr="00B370E3" w:rsidRDefault="00B370E3" w:rsidP="00B370E3">
      <w:r w:rsidRPr="00B370E3">
        <w:t>This question explored whether councils foresee material effects on their area arising from structural reorganisation — including service changes, altered relationships, or shifts in local influence.</w:t>
      </w:r>
    </w:p>
    <w:p w14:paraId="1BBE7586" w14:textId="77777777" w:rsidR="00B370E3" w:rsidRPr="00B370E3" w:rsidRDefault="00B370E3" w:rsidP="00B370E3">
      <w:pPr>
        <w:numPr>
          <w:ilvl w:val="0"/>
          <w:numId w:val="42"/>
        </w:numPr>
      </w:pPr>
      <w:r w:rsidRPr="00B370E3">
        <w:rPr>
          <w:b/>
          <w:bCs/>
        </w:rPr>
        <w:t>51 councils (68%)</w:t>
      </w:r>
      <w:r w:rsidRPr="00B370E3">
        <w:t xml:space="preserve"> – </w:t>
      </w:r>
      <w:r w:rsidRPr="00B370E3">
        <w:rPr>
          <w:i/>
          <w:iCs/>
        </w:rPr>
        <w:t>Yes, changes are likely to impact their community</w:t>
      </w:r>
    </w:p>
    <w:p w14:paraId="74AF4375" w14:textId="77777777" w:rsidR="00B370E3" w:rsidRPr="00B370E3" w:rsidRDefault="00B370E3" w:rsidP="00B370E3">
      <w:pPr>
        <w:numPr>
          <w:ilvl w:val="0"/>
          <w:numId w:val="42"/>
        </w:numPr>
      </w:pPr>
      <w:r w:rsidRPr="00B370E3">
        <w:rPr>
          <w:b/>
          <w:bCs/>
        </w:rPr>
        <w:lastRenderedPageBreak/>
        <w:t>12 councils (16%)</w:t>
      </w:r>
      <w:r w:rsidRPr="00B370E3">
        <w:t xml:space="preserve"> – </w:t>
      </w:r>
      <w:r w:rsidRPr="00B370E3">
        <w:rPr>
          <w:i/>
          <w:iCs/>
        </w:rPr>
        <w:t>No, they do not anticipate an impact</w:t>
      </w:r>
    </w:p>
    <w:p w14:paraId="02BBDF09" w14:textId="77777777" w:rsidR="00B370E3" w:rsidRPr="00B370E3" w:rsidRDefault="00B370E3" w:rsidP="00B370E3">
      <w:pPr>
        <w:numPr>
          <w:ilvl w:val="0"/>
          <w:numId w:val="42"/>
        </w:numPr>
      </w:pPr>
      <w:r w:rsidRPr="00B370E3">
        <w:rPr>
          <w:b/>
          <w:bCs/>
        </w:rPr>
        <w:t>12 councils (16%)</w:t>
      </w:r>
      <w:r w:rsidRPr="00B370E3">
        <w:t xml:space="preserve"> – </w:t>
      </w:r>
      <w:r w:rsidRPr="00B370E3">
        <w:rPr>
          <w:i/>
          <w:iCs/>
        </w:rPr>
        <w:t>Unclear, unsure, or did not provide a definitive answer</w:t>
      </w:r>
    </w:p>
    <w:p w14:paraId="095E707D" w14:textId="266B0CFA" w:rsidR="0034097B" w:rsidRPr="0034097B" w:rsidRDefault="0034097B" w:rsidP="0034097B">
      <w:r w:rsidRPr="0034097B">
        <w:t>Councils that answered "Yes" to anticipating local impact provided a broad range of reflections. Their responses coalesce around several recurring themes, many of which point to concerns about capacity, influence and service continuity:</w:t>
      </w:r>
    </w:p>
    <w:p w14:paraId="070E2BDA" w14:textId="77777777" w:rsidR="0034097B" w:rsidRPr="0034097B" w:rsidRDefault="0034097B" w:rsidP="0034097B">
      <w:pPr>
        <w:rPr>
          <w:b/>
          <w:bCs/>
        </w:rPr>
      </w:pPr>
      <w:r w:rsidRPr="0034097B">
        <w:rPr>
          <w:b/>
          <w:bCs/>
        </w:rPr>
        <w:t>1. Increased Pressure on Parish and Town Councils</w:t>
      </w:r>
    </w:p>
    <w:p w14:paraId="45B505C3" w14:textId="77777777" w:rsidR="0034097B" w:rsidRPr="0034097B" w:rsidRDefault="0034097B" w:rsidP="0034097B">
      <w:r w:rsidRPr="0034097B">
        <w:t>Numerous councils noted that structural change at the county/district level could result in responsibilities being cascaded down to them — without commensurate resources.</w:t>
      </w:r>
    </w:p>
    <w:p w14:paraId="5540611D" w14:textId="77777777" w:rsidR="0034097B" w:rsidRPr="0034097B" w:rsidRDefault="0034097B" w:rsidP="0034097B">
      <w:pPr>
        <w:rPr>
          <w:b/>
          <w:bCs/>
        </w:rPr>
      </w:pPr>
      <w:r w:rsidRPr="0034097B">
        <w:rPr>
          <w:b/>
          <w:bCs/>
        </w:rPr>
        <w:t>2. Opportunities to Gain Local Influence</w:t>
      </w:r>
    </w:p>
    <w:p w14:paraId="21DA65DC" w14:textId="77777777" w:rsidR="0034097B" w:rsidRPr="0034097B" w:rsidRDefault="0034097B" w:rsidP="0034097B">
      <w:r w:rsidRPr="0034097B">
        <w:t>Some saw LGR as a chance to strengthen local voices and take ownership of services more relevant to their communities.</w:t>
      </w:r>
    </w:p>
    <w:p w14:paraId="72415722" w14:textId="77777777" w:rsidR="0034097B" w:rsidRPr="0034097B" w:rsidRDefault="0034097B" w:rsidP="0034097B">
      <w:pPr>
        <w:rPr>
          <w:b/>
          <w:bCs/>
        </w:rPr>
      </w:pPr>
      <w:r w:rsidRPr="0034097B">
        <w:rPr>
          <w:b/>
          <w:bCs/>
        </w:rPr>
        <w:t>3. Uncertainty and Ambiguity</w:t>
      </w:r>
    </w:p>
    <w:p w14:paraId="4FB89EB9" w14:textId="77777777" w:rsidR="0034097B" w:rsidRPr="0034097B" w:rsidRDefault="0034097B" w:rsidP="0034097B">
      <w:r w:rsidRPr="0034097B">
        <w:t>Several councils expressed uncertainty about what LGR entails or were wary of potential disruption without clear plans or communication.</w:t>
      </w:r>
    </w:p>
    <w:p w14:paraId="46E73FA2" w14:textId="77777777" w:rsidR="0034097B" w:rsidRPr="0034097B" w:rsidRDefault="0034097B" w:rsidP="0034097B">
      <w:pPr>
        <w:rPr>
          <w:b/>
          <w:bCs/>
        </w:rPr>
      </w:pPr>
      <w:r w:rsidRPr="0034097B">
        <w:rPr>
          <w:b/>
          <w:bCs/>
        </w:rPr>
        <w:t>4. Concerns about Service Delivery and Representation</w:t>
      </w:r>
    </w:p>
    <w:p w14:paraId="3080FEE5" w14:textId="1A1042C0" w:rsidR="0034097B" w:rsidRPr="0034097B" w:rsidRDefault="0034097B" w:rsidP="0034097B">
      <w:r w:rsidRPr="0034097B">
        <w:t>Others expressed worry that communities might become overlooked under larger unitary structures, particularly rural or smaller parishes.</w:t>
      </w:r>
      <w:r w:rsidR="00CA21BD">
        <w:t xml:space="preserve"> </w:t>
      </w:r>
    </w:p>
    <w:p w14:paraId="39E321C1" w14:textId="33E5AFC3" w:rsidR="0034097B" w:rsidRPr="0034097B" w:rsidRDefault="00CA21BD" w:rsidP="0034097B">
      <w:r>
        <w:t xml:space="preserve">Drilling down into identities, councils were asked: </w:t>
      </w:r>
      <w:r w:rsidR="0034097B" w:rsidRPr="0034097B">
        <w:rPr>
          <w:b/>
          <w:bCs/>
        </w:rPr>
        <w:t>Do you feel your Council’s rural or urban character creates specific challenges or opportunities regarding devolution?</w:t>
      </w:r>
      <w:r w:rsidR="0034097B" w:rsidRPr="0034097B">
        <w:t xml:space="preserve"> </w:t>
      </w:r>
    </w:p>
    <w:p w14:paraId="5992C9C5" w14:textId="77777777" w:rsidR="0034097B" w:rsidRPr="0034097B" w:rsidRDefault="0034097B" w:rsidP="0034097B">
      <w:pPr>
        <w:numPr>
          <w:ilvl w:val="0"/>
          <w:numId w:val="43"/>
        </w:numPr>
      </w:pPr>
      <w:r w:rsidRPr="0034097B">
        <w:rPr>
          <w:b/>
          <w:bCs/>
        </w:rPr>
        <w:t>46 councils (61%)</w:t>
      </w:r>
      <w:r w:rsidRPr="0034097B">
        <w:t xml:space="preserve"> responded </w:t>
      </w:r>
      <w:r w:rsidRPr="0034097B">
        <w:rPr>
          <w:i/>
          <w:iCs/>
        </w:rPr>
        <w:t>Yes</w:t>
      </w:r>
      <w:r w:rsidRPr="0034097B">
        <w:t xml:space="preserve"> — acknowledging their geographic character has a direct bearing on how they might experience or respond to devolution.</w:t>
      </w:r>
    </w:p>
    <w:p w14:paraId="6F53708B" w14:textId="77777777" w:rsidR="0034097B" w:rsidRPr="0034097B" w:rsidRDefault="0034097B" w:rsidP="0034097B">
      <w:pPr>
        <w:numPr>
          <w:ilvl w:val="0"/>
          <w:numId w:val="43"/>
        </w:numPr>
      </w:pPr>
      <w:r w:rsidRPr="0034097B">
        <w:rPr>
          <w:b/>
          <w:bCs/>
        </w:rPr>
        <w:t>27 councils (36%)</w:t>
      </w:r>
      <w:r w:rsidRPr="0034097B">
        <w:t xml:space="preserve"> responded </w:t>
      </w:r>
      <w:r w:rsidRPr="0034097B">
        <w:rPr>
          <w:i/>
          <w:iCs/>
        </w:rPr>
        <w:t>No</w:t>
      </w:r>
      <w:r w:rsidRPr="0034097B">
        <w:t xml:space="preserve"> — indicating they do not see their rural or urban setting as having a distinct impact.</w:t>
      </w:r>
    </w:p>
    <w:p w14:paraId="6F116680" w14:textId="77777777" w:rsidR="0034097B" w:rsidRPr="0034097B" w:rsidRDefault="0034097B" w:rsidP="0034097B">
      <w:pPr>
        <w:numPr>
          <w:ilvl w:val="0"/>
          <w:numId w:val="43"/>
        </w:numPr>
      </w:pPr>
      <w:r w:rsidRPr="0034097B">
        <w:rPr>
          <w:b/>
          <w:bCs/>
        </w:rPr>
        <w:t>2 councils (3%)</w:t>
      </w:r>
      <w:r w:rsidRPr="0034097B">
        <w:t xml:space="preserve"> left the question blank or were unclear.</w:t>
      </w:r>
    </w:p>
    <w:p w14:paraId="3D979A69" w14:textId="424707F1" w:rsidR="0034097B" w:rsidRDefault="0034097B" w:rsidP="0034097B">
      <w:r>
        <w:t>Those that responded “Yes”, gave the following reasons:</w:t>
      </w:r>
    </w:p>
    <w:p w14:paraId="770C02B1" w14:textId="0A370376" w:rsidR="0034097B" w:rsidRPr="0034097B" w:rsidRDefault="0034097B" w:rsidP="0034097B">
      <w:pPr>
        <w:numPr>
          <w:ilvl w:val="0"/>
          <w:numId w:val="44"/>
        </w:numPr>
      </w:pPr>
      <w:r w:rsidRPr="0034097B">
        <w:rPr>
          <w:b/>
          <w:bCs/>
        </w:rPr>
        <w:t>Capacity and Scale</w:t>
      </w:r>
      <w:r w:rsidRPr="0034097B">
        <w:t>: Many small rural councils noted having limited administrative capacity, often with part-time clerks, making it difficult to absorb new responsibilities.</w:t>
      </w:r>
    </w:p>
    <w:p w14:paraId="22D0491F" w14:textId="76C3DDBD" w:rsidR="0034097B" w:rsidRPr="0034097B" w:rsidRDefault="0034097B" w:rsidP="0034097B">
      <w:pPr>
        <w:numPr>
          <w:ilvl w:val="0"/>
          <w:numId w:val="44"/>
        </w:numPr>
      </w:pPr>
      <w:r w:rsidRPr="0034097B">
        <w:rPr>
          <w:b/>
          <w:bCs/>
        </w:rPr>
        <w:t>Isolation and Connectivity</w:t>
      </w:r>
      <w:r w:rsidRPr="0034097B">
        <w:t xml:space="preserve">: </w:t>
      </w:r>
      <w:r>
        <w:t>C</w:t>
      </w:r>
      <w:r w:rsidRPr="0034097B">
        <w:t>ouncils flagged poor transport links and digital exclusion as barriers to wider community engagement and collaboration.</w:t>
      </w:r>
    </w:p>
    <w:p w14:paraId="2B91F7D0" w14:textId="77777777" w:rsidR="0034097B" w:rsidRPr="0034097B" w:rsidRDefault="0034097B" w:rsidP="0034097B">
      <w:pPr>
        <w:numPr>
          <w:ilvl w:val="0"/>
          <w:numId w:val="44"/>
        </w:numPr>
      </w:pPr>
      <w:r w:rsidRPr="0034097B">
        <w:rPr>
          <w:b/>
          <w:bCs/>
        </w:rPr>
        <w:t>Strong Identity, Weak Influence</w:t>
      </w:r>
      <w:r w:rsidRPr="0034097B">
        <w:t>: Some rural respondents expressed concern that their needs are overlooked compared to urban areas, despite being tightly knit communities with strong local identities.</w:t>
      </w:r>
    </w:p>
    <w:p w14:paraId="19DCC054" w14:textId="77777777" w:rsidR="0034097B" w:rsidRPr="0034097B" w:rsidRDefault="0034097B" w:rsidP="0034097B">
      <w:pPr>
        <w:numPr>
          <w:ilvl w:val="0"/>
          <w:numId w:val="44"/>
        </w:numPr>
      </w:pPr>
      <w:r w:rsidRPr="0034097B">
        <w:rPr>
          <w:b/>
          <w:bCs/>
        </w:rPr>
        <w:t>Land Use and Development Pressures</w:t>
      </w:r>
      <w:r w:rsidRPr="0034097B">
        <w:t>: A number of parishes referred to specific planning challenges — e.g., gravel extraction, housing expansion — that strain resources but offer scope for local control.</w:t>
      </w:r>
    </w:p>
    <w:p w14:paraId="3FC63EDB" w14:textId="77777777" w:rsidR="0034097B" w:rsidRPr="0034097B" w:rsidRDefault="0034097B" w:rsidP="0034097B">
      <w:pPr>
        <w:numPr>
          <w:ilvl w:val="0"/>
          <w:numId w:val="45"/>
        </w:numPr>
      </w:pPr>
      <w:r w:rsidRPr="0034097B">
        <w:rPr>
          <w:b/>
          <w:bCs/>
        </w:rPr>
        <w:t>Opportunities for Coordination</w:t>
      </w:r>
      <w:r w:rsidRPr="0034097B">
        <w:t>: Larger or urbanised councils noted stronger capacity and a potential to lead local collaborations, especially in more populated areas.</w:t>
      </w:r>
    </w:p>
    <w:p w14:paraId="33662569" w14:textId="77777777" w:rsidR="0034097B" w:rsidRPr="0034097B" w:rsidRDefault="0034097B" w:rsidP="0034097B">
      <w:pPr>
        <w:numPr>
          <w:ilvl w:val="0"/>
          <w:numId w:val="45"/>
        </w:numPr>
      </w:pPr>
      <w:r w:rsidRPr="0034097B">
        <w:rPr>
          <w:b/>
          <w:bCs/>
        </w:rPr>
        <w:lastRenderedPageBreak/>
        <w:t>Shared Services Viability</w:t>
      </w:r>
      <w:r w:rsidRPr="0034097B">
        <w:t>: Some identified economies of scale as a benefit of their setting, citing joint procurement and facility sharing as feasible options.</w:t>
      </w:r>
    </w:p>
    <w:p w14:paraId="4F4EA6D8" w14:textId="77777777" w:rsidR="0034097B" w:rsidRPr="0034097B" w:rsidRDefault="0034097B" w:rsidP="0034097B">
      <w:pPr>
        <w:rPr>
          <w:b/>
          <w:bCs/>
        </w:rPr>
      </w:pPr>
      <w:r w:rsidRPr="0034097B">
        <w:rPr>
          <w:b/>
          <w:bCs/>
        </w:rPr>
        <w:t>5. Preparedness Depends on Local Capacity</w:t>
      </w:r>
    </w:p>
    <w:p w14:paraId="17638915" w14:textId="77777777" w:rsidR="0034097B" w:rsidRPr="0034097B" w:rsidRDefault="0034097B" w:rsidP="0034097B">
      <w:r w:rsidRPr="0034097B">
        <w:t xml:space="preserve">Several responses highlighted the </w:t>
      </w:r>
      <w:r w:rsidRPr="0034097B">
        <w:rPr>
          <w:b/>
          <w:bCs/>
        </w:rPr>
        <w:t>divide between well-resourced, proactive councils and smaller councils with limited capacity</w:t>
      </w:r>
      <w:r w:rsidRPr="0034097B">
        <w:t>, suggesting unequal readiness for reform.</w:t>
      </w:r>
    </w:p>
    <w:p w14:paraId="28DB462A" w14:textId="77B87FB1" w:rsidR="00376DA2" w:rsidRPr="00376DA2" w:rsidRDefault="00376DA2" w:rsidP="00376DA2">
      <w:r w:rsidRPr="00376DA2">
        <w:t>Councils were asked whether they would benefit from more information or training on devolution and the potential impact of LGR, and if so, what format would best suit their needs.</w:t>
      </w:r>
    </w:p>
    <w:p w14:paraId="7F1F75CC" w14:textId="77777777" w:rsidR="00376DA2" w:rsidRPr="00376DA2" w:rsidRDefault="00376DA2" w:rsidP="00376DA2">
      <w:pPr>
        <w:rPr>
          <w:b/>
          <w:bCs/>
        </w:rPr>
      </w:pPr>
      <w:r w:rsidRPr="00376DA2">
        <w:rPr>
          <w:b/>
          <w:bCs/>
        </w:rPr>
        <w:t>Would your council like more information or training?</w:t>
      </w:r>
    </w:p>
    <w:p w14:paraId="74F70A51" w14:textId="77777777" w:rsidR="00376DA2" w:rsidRPr="00376DA2" w:rsidRDefault="00376DA2" w:rsidP="00376DA2">
      <w:pPr>
        <w:numPr>
          <w:ilvl w:val="0"/>
          <w:numId w:val="47"/>
        </w:numPr>
      </w:pPr>
      <w:r w:rsidRPr="00376DA2">
        <w:rPr>
          <w:b/>
          <w:bCs/>
        </w:rPr>
        <w:t>52 councils</w:t>
      </w:r>
      <w:r w:rsidRPr="00376DA2">
        <w:t xml:space="preserve"> said </w:t>
      </w:r>
      <w:r w:rsidRPr="00376DA2">
        <w:rPr>
          <w:b/>
          <w:bCs/>
        </w:rPr>
        <w:t>Yes</w:t>
      </w:r>
      <w:r w:rsidRPr="00376DA2">
        <w:t xml:space="preserve"> – showing strong demand for structured support</w:t>
      </w:r>
    </w:p>
    <w:p w14:paraId="4453C554" w14:textId="77777777" w:rsidR="00376DA2" w:rsidRPr="00376DA2" w:rsidRDefault="00376DA2" w:rsidP="00376DA2">
      <w:pPr>
        <w:numPr>
          <w:ilvl w:val="0"/>
          <w:numId w:val="47"/>
        </w:numPr>
      </w:pPr>
      <w:r w:rsidRPr="00376DA2">
        <w:rPr>
          <w:b/>
          <w:bCs/>
        </w:rPr>
        <w:t>18 councils</w:t>
      </w:r>
      <w:r w:rsidRPr="00376DA2">
        <w:t xml:space="preserve"> were </w:t>
      </w:r>
      <w:r w:rsidRPr="00376DA2">
        <w:rPr>
          <w:b/>
          <w:bCs/>
        </w:rPr>
        <w:t>Unsure</w:t>
      </w:r>
      <w:r w:rsidRPr="00376DA2">
        <w:t xml:space="preserve"> – suggesting uncertainty about what devolution may entail or a lack of clarity about their own capacity</w:t>
      </w:r>
    </w:p>
    <w:p w14:paraId="5CC603C0" w14:textId="77777777" w:rsidR="00376DA2" w:rsidRPr="00376DA2" w:rsidRDefault="00376DA2" w:rsidP="00376DA2">
      <w:pPr>
        <w:numPr>
          <w:ilvl w:val="0"/>
          <w:numId w:val="47"/>
        </w:numPr>
      </w:pPr>
      <w:r w:rsidRPr="00376DA2">
        <w:rPr>
          <w:b/>
          <w:bCs/>
        </w:rPr>
        <w:t>4 councils</w:t>
      </w:r>
      <w:r w:rsidRPr="00376DA2">
        <w:t xml:space="preserve"> said </w:t>
      </w:r>
      <w:r w:rsidRPr="00376DA2">
        <w:rPr>
          <w:b/>
          <w:bCs/>
        </w:rPr>
        <w:t>No</w:t>
      </w:r>
      <w:r w:rsidRPr="00376DA2">
        <w:t xml:space="preserve"> – either confident in their understanding or currently uninterested</w:t>
      </w:r>
    </w:p>
    <w:p w14:paraId="338ACD98" w14:textId="77777777" w:rsidR="00376DA2" w:rsidRPr="00376DA2" w:rsidRDefault="00376DA2" w:rsidP="00376DA2">
      <w:pPr>
        <w:rPr>
          <w:b/>
          <w:bCs/>
        </w:rPr>
      </w:pPr>
      <w:r w:rsidRPr="00376DA2">
        <w:rPr>
          <w:b/>
          <w:bCs/>
        </w:rPr>
        <w:t>Preferred Training Formats (multiple selections allowed):</w:t>
      </w:r>
    </w:p>
    <w:p w14:paraId="6EFE08D2" w14:textId="77777777" w:rsidR="00376DA2" w:rsidRPr="00376DA2" w:rsidRDefault="00376DA2" w:rsidP="00376DA2">
      <w:pPr>
        <w:numPr>
          <w:ilvl w:val="0"/>
          <w:numId w:val="48"/>
        </w:numPr>
      </w:pPr>
      <w:r w:rsidRPr="00376DA2">
        <w:rPr>
          <w:b/>
          <w:bCs/>
        </w:rPr>
        <w:t>Online via Zoom</w:t>
      </w:r>
      <w:r w:rsidRPr="00376DA2">
        <w:t xml:space="preserve"> – selected by </w:t>
      </w:r>
      <w:r w:rsidRPr="00376DA2">
        <w:rPr>
          <w:b/>
          <w:bCs/>
        </w:rPr>
        <w:t>42 councils</w:t>
      </w:r>
    </w:p>
    <w:p w14:paraId="22A560DE" w14:textId="77777777" w:rsidR="00376DA2" w:rsidRPr="00376DA2" w:rsidRDefault="00376DA2" w:rsidP="00376DA2">
      <w:pPr>
        <w:numPr>
          <w:ilvl w:val="0"/>
          <w:numId w:val="48"/>
        </w:numPr>
      </w:pPr>
      <w:r w:rsidRPr="00376DA2">
        <w:rPr>
          <w:b/>
          <w:bCs/>
        </w:rPr>
        <w:t>Written materials</w:t>
      </w:r>
      <w:r w:rsidRPr="00376DA2">
        <w:t xml:space="preserve"> – preferred by </w:t>
      </w:r>
      <w:r w:rsidRPr="00376DA2">
        <w:rPr>
          <w:b/>
          <w:bCs/>
        </w:rPr>
        <w:t>32 councils</w:t>
      </w:r>
    </w:p>
    <w:p w14:paraId="3D81F2CD" w14:textId="77777777" w:rsidR="00376DA2" w:rsidRPr="00376DA2" w:rsidRDefault="00376DA2" w:rsidP="00376DA2">
      <w:pPr>
        <w:numPr>
          <w:ilvl w:val="0"/>
          <w:numId w:val="48"/>
        </w:numPr>
      </w:pPr>
      <w:r w:rsidRPr="00376DA2">
        <w:rPr>
          <w:b/>
          <w:bCs/>
        </w:rPr>
        <w:t>At your council (bespoke/localised)</w:t>
      </w:r>
      <w:r w:rsidRPr="00376DA2">
        <w:t xml:space="preserve"> – favoured by </w:t>
      </w:r>
      <w:r w:rsidRPr="00376DA2">
        <w:rPr>
          <w:b/>
          <w:bCs/>
        </w:rPr>
        <w:t>30 councils</w:t>
      </w:r>
    </w:p>
    <w:p w14:paraId="3D4C6742" w14:textId="77777777" w:rsidR="00376DA2" w:rsidRPr="00376DA2" w:rsidRDefault="00376DA2" w:rsidP="00376DA2">
      <w:pPr>
        <w:numPr>
          <w:ilvl w:val="0"/>
          <w:numId w:val="48"/>
        </w:numPr>
      </w:pPr>
      <w:r w:rsidRPr="00376DA2">
        <w:rPr>
          <w:b/>
          <w:bCs/>
        </w:rPr>
        <w:t>In-person sessions</w:t>
      </w:r>
      <w:r w:rsidRPr="00376DA2">
        <w:t xml:space="preserve"> – chosen by </w:t>
      </w:r>
      <w:r w:rsidRPr="00376DA2">
        <w:rPr>
          <w:b/>
          <w:bCs/>
        </w:rPr>
        <w:t>29 councils</w:t>
      </w:r>
    </w:p>
    <w:p w14:paraId="37221F13" w14:textId="19036E4F" w:rsidR="00376DA2" w:rsidRDefault="00376DA2" w:rsidP="00376DA2">
      <w:r w:rsidRPr="00376DA2">
        <w:t>This indicates a preference for a blended approach, with digital delivery slightly leading but strong interest in tailored, face-to-face engagement, whether hosted locally or centrally</w:t>
      </w:r>
      <w:r w:rsidR="00002E1A">
        <w:t>.</w:t>
      </w:r>
    </w:p>
    <w:p w14:paraId="49B68EE1" w14:textId="77777777" w:rsidR="00244A22" w:rsidRPr="00530432" w:rsidRDefault="00002E1A" w:rsidP="00244A22">
      <w:pPr>
        <w:rPr>
          <w:b/>
          <w:bCs/>
          <w:color w:val="808080" w:themeColor="background1" w:themeShade="80"/>
          <w:sz w:val="28"/>
          <w:szCs w:val="28"/>
        </w:rPr>
      </w:pPr>
      <w:r w:rsidRPr="00530432">
        <w:rPr>
          <w:b/>
          <w:bCs/>
          <w:color w:val="808080" w:themeColor="background1" w:themeShade="80"/>
          <w:sz w:val="28"/>
          <w:szCs w:val="28"/>
        </w:rPr>
        <w:t>Preferred Governance Models for Neighbourhood Arrangements</w:t>
      </w:r>
    </w:p>
    <w:p w14:paraId="1A7A32A3" w14:textId="67A64EF2" w:rsidR="00002E1A" w:rsidRPr="00002E1A" w:rsidRDefault="00244A22" w:rsidP="00244A22">
      <w:r w:rsidRPr="00244A22">
        <w:t>To further explore how councils see themselves participating in a restructured local governance system, respondents were asked what governance model they would support for any new neighbourhood arrangements.</w:t>
      </w:r>
      <w:r>
        <w:t xml:space="preserve"> </w:t>
      </w:r>
      <w:r w:rsidR="00002E1A" w:rsidRPr="00002E1A">
        <w:t xml:space="preserve">This question aimed to explore how local councils envision </w:t>
      </w:r>
      <w:r w:rsidR="00002E1A">
        <w:t>collaboration</w:t>
      </w:r>
      <w:r w:rsidR="00002E1A" w:rsidRPr="00002E1A">
        <w:t xml:space="preserve"> and representation within a potential devolved or reorganised structure.</w:t>
      </w:r>
    </w:p>
    <w:p w14:paraId="5CF566DD" w14:textId="55BAA3C9" w:rsidR="00002E1A" w:rsidRPr="00002E1A" w:rsidRDefault="00002E1A" w:rsidP="00002E1A">
      <w:r w:rsidRPr="00002E1A">
        <w:t>The responses revealed a clear desire for retaining a voice, though also reflected th</w:t>
      </w:r>
      <w:r w:rsidR="00E5410B">
        <w:t xml:space="preserve">e </w:t>
      </w:r>
      <w:r w:rsidRPr="00002E1A">
        <w:t>uncertainty seen throughout the section:</w:t>
      </w:r>
    </w:p>
    <w:p w14:paraId="4D780958" w14:textId="77777777" w:rsidR="00002E1A" w:rsidRPr="00002E1A" w:rsidRDefault="00002E1A" w:rsidP="00002E1A">
      <w:pPr>
        <w:numPr>
          <w:ilvl w:val="0"/>
          <w:numId w:val="59"/>
        </w:numPr>
      </w:pPr>
      <w:r w:rsidRPr="00002E1A">
        <w:rPr>
          <w:b/>
          <w:bCs/>
        </w:rPr>
        <w:t>41 councils were unsure</w:t>
      </w:r>
      <w:r w:rsidRPr="00002E1A">
        <w:t xml:space="preserve"> — a figure that echoes the broader hesitation expressed in qualitative responses, particularly around the unclear shape, responsibilities, and authority of any proposed neighbourhood tier.</w:t>
      </w:r>
    </w:p>
    <w:p w14:paraId="110B65BD" w14:textId="77777777" w:rsidR="00002E1A" w:rsidRPr="00002E1A" w:rsidRDefault="00002E1A" w:rsidP="00002E1A">
      <w:pPr>
        <w:numPr>
          <w:ilvl w:val="0"/>
          <w:numId w:val="59"/>
        </w:numPr>
      </w:pPr>
      <w:r w:rsidRPr="00002E1A">
        <w:rPr>
          <w:b/>
          <w:bCs/>
        </w:rPr>
        <w:t>29 councils favoured direct representation</w:t>
      </w:r>
      <w:r w:rsidRPr="00002E1A">
        <w:t xml:space="preserve"> — emphasising a preference for preserving democratic legitimacy and ensuring local views are not lost within larger joint structures.</w:t>
      </w:r>
    </w:p>
    <w:p w14:paraId="7D4AC54B" w14:textId="77777777" w:rsidR="00002E1A" w:rsidRPr="00002E1A" w:rsidRDefault="00002E1A" w:rsidP="00002E1A">
      <w:pPr>
        <w:numPr>
          <w:ilvl w:val="0"/>
          <w:numId w:val="59"/>
        </w:numPr>
      </w:pPr>
      <w:r w:rsidRPr="00002E1A">
        <w:rPr>
          <w:b/>
          <w:bCs/>
        </w:rPr>
        <w:t>2 councils supported shared structures</w:t>
      </w:r>
      <w:r w:rsidRPr="00002E1A">
        <w:t xml:space="preserve"> such as </w:t>
      </w:r>
      <w:r w:rsidRPr="00002E1A">
        <w:rPr>
          <w:b/>
          <w:bCs/>
        </w:rPr>
        <w:t>committees, joint boards or working groups</w:t>
      </w:r>
      <w:r w:rsidRPr="00002E1A">
        <w:t xml:space="preserve"> — suggesting limited but present interest in formalised collaboration mechanisms.</w:t>
      </w:r>
    </w:p>
    <w:p w14:paraId="387FD2F2" w14:textId="77777777" w:rsidR="00002E1A" w:rsidRPr="00002E1A" w:rsidRDefault="00002E1A" w:rsidP="00002E1A">
      <w:r w:rsidRPr="00002E1A">
        <w:lastRenderedPageBreak/>
        <w:t>This mix of uncertainty and guarded interest in direct representation reinforces a theme repeated in final comments: councils are willing to engage, but need clearer guarantees on autonomy, resourcing and influence if new governance models are to succeed.</w:t>
      </w:r>
    </w:p>
    <w:p w14:paraId="5CE85AEF" w14:textId="77777777" w:rsidR="003B4D5E" w:rsidRPr="00904815" w:rsidRDefault="003B4D5E" w:rsidP="003B4D5E">
      <w:pPr>
        <w:rPr>
          <w:color w:val="808080" w:themeColor="background1" w:themeShade="80"/>
          <w:sz w:val="28"/>
          <w:szCs w:val="28"/>
        </w:rPr>
      </w:pPr>
      <w:r w:rsidRPr="00904815">
        <w:rPr>
          <w:b/>
          <w:bCs/>
          <w:color w:val="808080" w:themeColor="background1" w:themeShade="80"/>
          <w:sz w:val="28"/>
          <w:szCs w:val="28"/>
        </w:rPr>
        <w:t>Delivering Local Services: Capacity, Confidence and Support Needs</w:t>
      </w:r>
    </w:p>
    <w:p w14:paraId="58F55ACA" w14:textId="7116F86B" w:rsidR="003B4D5E" w:rsidRPr="003B4D5E" w:rsidRDefault="003B4D5E" w:rsidP="003B4D5E">
      <w:r w:rsidRPr="003B4D5E">
        <w:t xml:space="preserve">This section explores the ability and preparedness of parish and town councils to deliver services, and what support they might need to do so effectively under a devolved model. </w:t>
      </w:r>
      <w:r w:rsidR="00530432">
        <w:t>T</w:t>
      </w:r>
      <w:r w:rsidRPr="003B4D5E">
        <w:t>his insight captures councils’ current involvement in local service provision, their openness to taking on more, and the types of support they would require to deliver new responsibilities confidently.</w:t>
      </w:r>
    </w:p>
    <w:p w14:paraId="22D0BCCC" w14:textId="77777777" w:rsidR="003B4D5E" w:rsidRPr="003B4D5E" w:rsidRDefault="003B4D5E" w:rsidP="003B4D5E">
      <w:r w:rsidRPr="003B4D5E">
        <w:rPr>
          <w:b/>
          <w:bCs/>
        </w:rPr>
        <w:t>Services Currently Delivered by Councils</w:t>
      </w:r>
    </w:p>
    <w:p w14:paraId="3CE7AFA2" w14:textId="77777777" w:rsidR="003B4D5E" w:rsidRPr="003B4D5E" w:rsidRDefault="003B4D5E" w:rsidP="003B4D5E">
      <w:r w:rsidRPr="003B4D5E">
        <w:t>Almost all councils reported delivering at least one local service, with the vast majority managing multiple responsibilities. These services range from traditional statutory functions to broader community-focused initiatives. The most frequently mentioned categories are:</w:t>
      </w:r>
    </w:p>
    <w:p w14:paraId="1F49A54F" w14:textId="77777777" w:rsidR="003B4D5E" w:rsidRPr="003B4D5E" w:rsidRDefault="003B4D5E" w:rsidP="003B4D5E">
      <w:pPr>
        <w:numPr>
          <w:ilvl w:val="0"/>
          <w:numId w:val="49"/>
        </w:numPr>
      </w:pPr>
      <w:r w:rsidRPr="003B4D5E">
        <w:rPr>
          <w:b/>
          <w:bCs/>
        </w:rPr>
        <w:t>Green and Open Space Management</w:t>
      </w:r>
      <w:r w:rsidRPr="003B4D5E">
        <w:t>:</w:t>
      </w:r>
      <w:r w:rsidRPr="003B4D5E">
        <w:br/>
        <w:t xml:space="preserve">Nearly all councils carry out some form of </w:t>
      </w:r>
      <w:r w:rsidRPr="003B4D5E">
        <w:rPr>
          <w:i/>
          <w:iCs/>
        </w:rPr>
        <w:t>grass cutting</w:t>
      </w:r>
      <w:r w:rsidRPr="003B4D5E">
        <w:t xml:space="preserve">, </w:t>
      </w:r>
      <w:r w:rsidRPr="003B4D5E">
        <w:rPr>
          <w:i/>
          <w:iCs/>
        </w:rPr>
        <w:t>hedge maintenance</w:t>
      </w:r>
      <w:r w:rsidRPr="003B4D5E">
        <w:t xml:space="preserve">, or </w:t>
      </w:r>
      <w:r w:rsidRPr="003B4D5E">
        <w:rPr>
          <w:i/>
          <w:iCs/>
        </w:rPr>
        <w:t>grounds upkeep</w:t>
      </w:r>
      <w:r w:rsidRPr="003B4D5E">
        <w:t xml:space="preserve">. Many also maintain </w:t>
      </w:r>
      <w:r w:rsidRPr="003B4D5E">
        <w:rPr>
          <w:i/>
          <w:iCs/>
        </w:rPr>
        <w:t>closed churchyards</w:t>
      </w:r>
      <w:r w:rsidRPr="003B4D5E">
        <w:t xml:space="preserve">, </w:t>
      </w:r>
      <w:r w:rsidRPr="003B4D5E">
        <w:rPr>
          <w:i/>
          <w:iCs/>
        </w:rPr>
        <w:t>cemeteries</w:t>
      </w:r>
      <w:r w:rsidRPr="003B4D5E">
        <w:t xml:space="preserve">, </w:t>
      </w:r>
      <w:r w:rsidRPr="003B4D5E">
        <w:rPr>
          <w:i/>
          <w:iCs/>
        </w:rPr>
        <w:t>memorial gardens</w:t>
      </w:r>
      <w:r w:rsidRPr="003B4D5E">
        <w:t xml:space="preserve">, </w:t>
      </w:r>
      <w:r w:rsidRPr="003B4D5E">
        <w:rPr>
          <w:i/>
          <w:iCs/>
        </w:rPr>
        <w:t>village greens</w:t>
      </w:r>
      <w:r w:rsidRPr="003B4D5E">
        <w:t xml:space="preserve">, </w:t>
      </w:r>
      <w:r w:rsidRPr="003B4D5E">
        <w:rPr>
          <w:i/>
          <w:iCs/>
        </w:rPr>
        <w:t>nature reserves</w:t>
      </w:r>
      <w:r w:rsidRPr="003B4D5E">
        <w:t xml:space="preserve">, and </w:t>
      </w:r>
      <w:r w:rsidRPr="003B4D5E">
        <w:rPr>
          <w:i/>
          <w:iCs/>
        </w:rPr>
        <w:t>conservation areas</w:t>
      </w:r>
      <w:r w:rsidRPr="003B4D5E">
        <w:t>.</w:t>
      </w:r>
    </w:p>
    <w:p w14:paraId="675777CD" w14:textId="77777777" w:rsidR="003B4D5E" w:rsidRPr="003B4D5E" w:rsidRDefault="003B4D5E" w:rsidP="003B4D5E">
      <w:pPr>
        <w:numPr>
          <w:ilvl w:val="0"/>
          <w:numId w:val="49"/>
        </w:numPr>
      </w:pPr>
      <w:r w:rsidRPr="003B4D5E">
        <w:rPr>
          <w:b/>
          <w:bCs/>
        </w:rPr>
        <w:t>Facilities and Infrastructure</w:t>
      </w:r>
      <w:r w:rsidRPr="003B4D5E">
        <w:t>:</w:t>
      </w:r>
      <w:r w:rsidRPr="003B4D5E">
        <w:br/>
        <w:t xml:space="preserve">Councils frequently manage </w:t>
      </w:r>
      <w:r w:rsidRPr="003B4D5E">
        <w:rPr>
          <w:i/>
          <w:iCs/>
        </w:rPr>
        <w:t>play areas</w:t>
      </w:r>
      <w:r w:rsidRPr="003B4D5E">
        <w:t xml:space="preserve">, </w:t>
      </w:r>
      <w:r w:rsidRPr="003B4D5E">
        <w:rPr>
          <w:i/>
          <w:iCs/>
        </w:rPr>
        <w:t>sports fields</w:t>
      </w:r>
      <w:r w:rsidRPr="003B4D5E">
        <w:t xml:space="preserve">, </w:t>
      </w:r>
      <w:r w:rsidRPr="003B4D5E">
        <w:rPr>
          <w:i/>
          <w:iCs/>
        </w:rPr>
        <w:t>Multi-Use Games Areas (MUGAs)</w:t>
      </w:r>
      <w:r w:rsidRPr="003B4D5E">
        <w:t xml:space="preserve">, </w:t>
      </w:r>
      <w:r w:rsidRPr="003B4D5E">
        <w:rPr>
          <w:i/>
          <w:iCs/>
        </w:rPr>
        <w:t>skate parks</w:t>
      </w:r>
      <w:r w:rsidRPr="003B4D5E">
        <w:t xml:space="preserve">, and </w:t>
      </w:r>
      <w:r w:rsidRPr="003B4D5E">
        <w:rPr>
          <w:i/>
          <w:iCs/>
        </w:rPr>
        <w:t>community halls</w:t>
      </w:r>
      <w:r w:rsidRPr="003B4D5E">
        <w:t xml:space="preserve">. Others maintain </w:t>
      </w:r>
      <w:r w:rsidRPr="003B4D5E">
        <w:rPr>
          <w:i/>
          <w:iCs/>
        </w:rPr>
        <w:t>bus shelters</w:t>
      </w:r>
      <w:r w:rsidRPr="003B4D5E">
        <w:t xml:space="preserve">, </w:t>
      </w:r>
      <w:r w:rsidRPr="003B4D5E">
        <w:rPr>
          <w:i/>
          <w:iCs/>
        </w:rPr>
        <w:t>benches</w:t>
      </w:r>
      <w:r w:rsidRPr="003B4D5E">
        <w:t xml:space="preserve">, </w:t>
      </w:r>
      <w:r w:rsidRPr="003B4D5E">
        <w:rPr>
          <w:i/>
          <w:iCs/>
        </w:rPr>
        <w:t>noticeboards</w:t>
      </w:r>
      <w:r w:rsidRPr="003B4D5E">
        <w:t xml:space="preserve">, </w:t>
      </w:r>
      <w:r w:rsidRPr="003B4D5E">
        <w:rPr>
          <w:i/>
          <w:iCs/>
        </w:rPr>
        <w:t>defibrillators</w:t>
      </w:r>
      <w:r w:rsidRPr="003B4D5E">
        <w:t xml:space="preserve">, and </w:t>
      </w:r>
      <w:r w:rsidRPr="003B4D5E">
        <w:rPr>
          <w:i/>
          <w:iCs/>
        </w:rPr>
        <w:t>street furniture</w:t>
      </w:r>
      <w:r w:rsidRPr="003B4D5E">
        <w:t>.</w:t>
      </w:r>
    </w:p>
    <w:p w14:paraId="219BE4D7" w14:textId="77777777" w:rsidR="003B4D5E" w:rsidRPr="003B4D5E" w:rsidRDefault="003B4D5E" w:rsidP="003B4D5E">
      <w:pPr>
        <w:numPr>
          <w:ilvl w:val="0"/>
          <w:numId w:val="49"/>
        </w:numPr>
      </w:pPr>
      <w:r w:rsidRPr="003B4D5E">
        <w:rPr>
          <w:b/>
          <w:bCs/>
        </w:rPr>
        <w:t>Burial and Allotment Services</w:t>
      </w:r>
      <w:r w:rsidRPr="003B4D5E">
        <w:t>:</w:t>
      </w:r>
      <w:r w:rsidRPr="003B4D5E">
        <w:br/>
        <w:t xml:space="preserve">A significant number serve as </w:t>
      </w:r>
      <w:r w:rsidRPr="003B4D5E">
        <w:rPr>
          <w:i/>
          <w:iCs/>
        </w:rPr>
        <w:t>burial authorities</w:t>
      </w:r>
      <w:r w:rsidRPr="003B4D5E">
        <w:t xml:space="preserve"> or manage </w:t>
      </w:r>
      <w:r w:rsidRPr="003B4D5E">
        <w:rPr>
          <w:i/>
          <w:iCs/>
        </w:rPr>
        <w:t>cemeteries</w:t>
      </w:r>
      <w:r w:rsidRPr="003B4D5E">
        <w:t xml:space="preserve"> and </w:t>
      </w:r>
      <w:r w:rsidRPr="003B4D5E">
        <w:rPr>
          <w:i/>
          <w:iCs/>
        </w:rPr>
        <w:t>closed churchyards</w:t>
      </w:r>
      <w:r w:rsidRPr="003B4D5E">
        <w:t xml:space="preserve">. </w:t>
      </w:r>
      <w:r w:rsidRPr="003B4D5E">
        <w:rPr>
          <w:i/>
          <w:iCs/>
        </w:rPr>
        <w:t>Allotments</w:t>
      </w:r>
      <w:r w:rsidRPr="003B4D5E">
        <w:t xml:space="preserve"> are also widely managed, with some councils running multiple sites.</w:t>
      </w:r>
    </w:p>
    <w:p w14:paraId="74A6DF20" w14:textId="6C7E7208" w:rsidR="003B4D5E" w:rsidRPr="003B4D5E" w:rsidRDefault="003B4D5E" w:rsidP="003B4D5E">
      <w:pPr>
        <w:numPr>
          <w:ilvl w:val="0"/>
          <w:numId w:val="49"/>
        </w:numPr>
      </w:pPr>
      <w:r w:rsidRPr="003B4D5E">
        <w:rPr>
          <w:b/>
          <w:bCs/>
        </w:rPr>
        <w:t>Community Engagement and Social Provision</w:t>
      </w:r>
      <w:r w:rsidRPr="003B4D5E">
        <w:t>:</w:t>
      </w:r>
      <w:r w:rsidRPr="003B4D5E">
        <w:br/>
        <w:t xml:space="preserve">Many councils provide or fund </w:t>
      </w:r>
      <w:r w:rsidRPr="003B4D5E">
        <w:rPr>
          <w:i/>
          <w:iCs/>
        </w:rPr>
        <w:t>youth clubs</w:t>
      </w:r>
      <w:r w:rsidRPr="003B4D5E">
        <w:t xml:space="preserve">, </w:t>
      </w:r>
      <w:r w:rsidRPr="003B4D5E">
        <w:rPr>
          <w:i/>
          <w:iCs/>
        </w:rPr>
        <w:t>holiday play schemes</w:t>
      </w:r>
      <w:r w:rsidRPr="003B4D5E">
        <w:t xml:space="preserve">, </w:t>
      </w:r>
      <w:r w:rsidRPr="003B4D5E">
        <w:rPr>
          <w:i/>
          <w:iCs/>
        </w:rPr>
        <w:t>community safety schemes</w:t>
      </w:r>
      <w:r w:rsidRPr="003B4D5E">
        <w:t xml:space="preserve"> (including Speed Watch and ANPR cameras), </w:t>
      </w:r>
      <w:r w:rsidRPr="003B4D5E">
        <w:rPr>
          <w:i/>
          <w:iCs/>
        </w:rPr>
        <w:t>food banks</w:t>
      </w:r>
      <w:r w:rsidRPr="003B4D5E">
        <w:t xml:space="preserve">, </w:t>
      </w:r>
      <w:r w:rsidR="00530432">
        <w:rPr>
          <w:i/>
          <w:iCs/>
        </w:rPr>
        <w:t>health and wellbeing</w:t>
      </w:r>
      <w:r w:rsidRPr="003B4D5E">
        <w:rPr>
          <w:i/>
          <w:iCs/>
        </w:rPr>
        <w:t xml:space="preserve"> services</w:t>
      </w:r>
      <w:r w:rsidRPr="003B4D5E">
        <w:t xml:space="preserve">, and even </w:t>
      </w:r>
      <w:r w:rsidRPr="003B4D5E">
        <w:rPr>
          <w:i/>
          <w:iCs/>
        </w:rPr>
        <w:t>community grants</w:t>
      </w:r>
      <w:r w:rsidRPr="003B4D5E">
        <w:t>.</w:t>
      </w:r>
    </w:p>
    <w:p w14:paraId="40CAB25B" w14:textId="77777777" w:rsidR="003B4D5E" w:rsidRPr="003B4D5E" w:rsidRDefault="003B4D5E" w:rsidP="003B4D5E">
      <w:pPr>
        <w:numPr>
          <w:ilvl w:val="0"/>
          <w:numId w:val="49"/>
        </w:numPr>
      </w:pPr>
      <w:r w:rsidRPr="003B4D5E">
        <w:rPr>
          <w:b/>
          <w:bCs/>
        </w:rPr>
        <w:t>Administrative and Liaison Functions</w:t>
      </w:r>
      <w:r w:rsidRPr="003B4D5E">
        <w:t>:</w:t>
      </w:r>
      <w:r w:rsidRPr="003B4D5E">
        <w:br/>
        <w:t xml:space="preserve">Almost all act as </w:t>
      </w:r>
      <w:r w:rsidRPr="003B4D5E">
        <w:rPr>
          <w:i/>
          <w:iCs/>
        </w:rPr>
        <w:t>statutory consultees on planning</w:t>
      </w:r>
      <w:r w:rsidRPr="003B4D5E">
        <w:t xml:space="preserve">, liaise regularly with </w:t>
      </w:r>
      <w:r w:rsidRPr="003B4D5E">
        <w:rPr>
          <w:i/>
          <w:iCs/>
        </w:rPr>
        <w:t>principal authorities</w:t>
      </w:r>
      <w:r w:rsidRPr="003B4D5E">
        <w:t xml:space="preserve"> and </w:t>
      </w:r>
      <w:r w:rsidRPr="003B4D5E">
        <w:rPr>
          <w:i/>
          <w:iCs/>
        </w:rPr>
        <w:t>local policing teams</w:t>
      </w:r>
      <w:r w:rsidRPr="003B4D5E">
        <w:t xml:space="preserve">, and serve as points of contact for community issues. Others take responsibility for </w:t>
      </w:r>
      <w:r w:rsidRPr="003B4D5E">
        <w:rPr>
          <w:i/>
          <w:iCs/>
        </w:rPr>
        <w:t>newsletters</w:t>
      </w:r>
      <w:r w:rsidRPr="003B4D5E">
        <w:t xml:space="preserve">, </w:t>
      </w:r>
      <w:r w:rsidRPr="003B4D5E">
        <w:rPr>
          <w:i/>
          <w:iCs/>
        </w:rPr>
        <w:t>websites</w:t>
      </w:r>
      <w:r w:rsidRPr="003B4D5E">
        <w:t xml:space="preserve">, and </w:t>
      </w:r>
      <w:r w:rsidRPr="003B4D5E">
        <w:rPr>
          <w:i/>
          <w:iCs/>
        </w:rPr>
        <w:t>reporting infrastructure faults</w:t>
      </w:r>
      <w:r w:rsidRPr="003B4D5E">
        <w:t>.</w:t>
      </w:r>
    </w:p>
    <w:p w14:paraId="3B291DE8" w14:textId="77777777" w:rsidR="003B4D5E" w:rsidRPr="003B4D5E" w:rsidRDefault="003B4D5E" w:rsidP="003B4D5E">
      <w:pPr>
        <w:numPr>
          <w:ilvl w:val="0"/>
          <w:numId w:val="49"/>
        </w:numPr>
      </w:pPr>
      <w:r w:rsidRPr="003B4D5E">
        <w:rPr>
          <w:b/>
          <w:bCs/>
        </w:rPr>
        <w:t>Event Organisation and Cultural Services</w:t>
      </w:r>
      <w:r w:rsidRPr="003B4D5E">
        <w:t>:</w:t>
      </w:r>
      <w:r w:rsidRPr="003B4D5E">
        <w:br/>
        <w:t xml:space="preserve">Several councils host </w:t>
      </w:r>
      <w:r w:rsidRPr="003B4D5E">
        <w:rPr>
          <w:i/>
          <w:iCs/>
        </w:rPr>
        <w:t>festivals</w:t>
      </w:r>
      <w:r w:rsidRPr="003B4D5E">
        <w:t xml:space="preserve">, </w:t>
      </w:r>
      <w:r w:rsidRPr="003B4D5E">
        <w:rPr>
          <w:i/>
          <w:iCs/>
        </w:rPr>
        <w:t>markets</w:t>
      </w:r>
      <w:r w:rsidRPr="003B4D5E">
        <w:t xml:space="preserve">, </w:t>
      </w:r>
      <w:r w:rsidRPr="003B4D5E">
        <w:rPr>
          <w:i/>
          <w:iCs/>
        </w:rPr>
        <w:t>social events</w:t>
      </w:r>
      <w:r w:rsidRPr="003B4D5E">
        <w:t xml:space="preserve">, and </w:t>
      </w:r>
      <w:r w:rsidRPr="003B4D5E">
        <w:rPr>
          <w:i/>
          <w:iCs/>
        </w:rPr>
        <w:t>community capacity-building activities</w:t>
      </w:r>
      <w:r w:rsidRPr="003B4D5E">
        <w:t xml:space="preserve">. Some run or support </w:t>
      </w:r>
      <w:r w:rsidRPr="003B4D5E">
        <w:rPr>
          <w:i/>
          <w:iCs/>
        </w:rPr>
        <w:t>arts venues</w:t>
      </w:r>
      <w:r w:rsidRPr="003B4D5E">
        <w:t xml:space="preserve">, </w:t>
      </w:r>
      <w:r w:rsidRPr="003B4D5E">
        <w:rPr>
          <w:i/>
          <w:iCs/>
        </w:rPr>
        <w:t>heritage assets</w:t>
      </w:r>
      <w:r w:rsidRPr="003B4D5E">
        <w:t xml:space="preserve">, and </w:t>
      </w:r>
      <w:r w:rsidRPr="003B4D5E">
        <w:rPr>
          <w:i/>
          <w:iCs/>
        </w:rPr>
        <w:t>tourist information</w:t>
      </w:r>
      <w:r w:rsidRPr="003B4D5E">
        <w:t xml:space="preserve"> functions.</w:t>
      </w:r>
    </w:p>
    <w:p w14:paraId="336D26BF" w14:textId="77777777" w:rsidR="003B4D5E" w:rsidRPr="003B4D5E" w:rsidRDefault="003B4D5E" w:rsidP="003B4D5E">
      <w:r w:rsidRPr="003B4D5E">
        <w:t xml:space="preserve">This wide-ranging portfolio reflects both the diversity and commitment of parish and town councils to meeting local needs. However, it also highlights disparities in capacity, with smaller </w:t>
      </w:r>
      <w:r w:rsidRPr="003B4D5E">
        <w:lastRenderedPageBreak/>
        <w:t>councils often reporting limited services due to a lack of assets, staffing, or funding. This variation is a key consideration in any future devolution discussions.</w:t>
      </w:r>
    </w:p>
    <w:p w14:paraId="5BCE9D7F" w14:textId="20B8D912" w:rsidR="003B4D5E" w:rsidRPr="003B4D5E" w:rsidRDefault="003B4D5E" w:rsidP="003B4D5E">
      <w:r>
        <w:t xml:space="preserve">When </w:t>
      </w:r>
      <w:r w:rsidRPr="003B4D5E">
        <w:t xml:space="preserve">asked </w:t>
      </w:r>
      <w:r w:rsidRPr="003B4D5E">
        <w:rPr>
          <w:b/>
          <w:bCs/>
          <w:i/>
          <w:iCs/>
        </w:rPr>
        <w:t>Does your Council currently have capacity (staff, skills, funding) to take on additional responsibilities?</w:t>
      </w:r>
      <w:r w:rsidRPr="003B4D5E">
        <w:t xml:space="preserve"> the results are as follows:</w:t>
      </w:r>
    </w:p>
    <w:p w14:paraId="207CF0D3" w14:textId="00359594" w:rsidR="003B4D5E" w:rsidRPr="003B4D5E" w:rsidRDefault="003B4D5E" w:rsidP="003B4D5E">
      <w:pPr>
        <w:numPr>
          <w:ilvl w:val="0"/>
          <w:numId w:val="50"/>
        </w:numPr>
      </w:pPr>
      <w:r w:rsidRPr="003B4D5E">
        <w:rPr>
          <w:b/>
          <w:bCs/>
        </w:rPr>
        <w:t>22 councils</w:t>
      </w:r>
      <w:r w:rsidRPr="003B4D5E">
        <w:t xml:space="preserve"> responded </w:t>
      </w:r>
      <w:r w:rsidRPr="003B4D5E">
        <w:rPr>
          <w:b/>
          <w:bCs/>
        </w:rPr>
        <w:t>Yes</w:t>
      </w:r>
      <w:r w:rsidRPr="003B4D5E">
        <w:t xml:space="preserve"> </w:t>
      </w:r>
    </w:p>
    <w:p w14:paraId="742F8067" w14:textId="22B7F5CE" w:rsidR="003B4D5E" w:rsidRPr="003B4D5E" w:rsidRDefault="003B4D5E" w:rsidP="003B4D5E">
      <w:pPr>
        <w:numPr>
          <w:ilvl w:val="0"/>
          <w:numId w:val="50"/>
        </w:numPr>
      </w:pPr>
      <w:r w:rsidRPr="003B4D5E">
        <w:rPr>
          <w:b/>
          <w:bCs/>
        </w:rPr>
        <w:t>22 councils</w:t>
      </w:r>
      <w:r w:rsidRPr="003B4D5E">
        <w:t xml:space="preserve"> responded </w:t>
      </w:r>
      <w:r w:rsidRPr="003B4D5E">
        <w:rPr>
          <w:b/>
          <w:bCs/>
        </w:rPr>
        <w:t>No</w:t>
      </w:r>
      <w:r w:rsidRPr="003B4D5E">
        <w:t xml:space="preserve"> </w:t>
      </w:r>
    </w:p>
    <w:p w14:paraId="5D5DE0A2" w14:textId="065DABAB" w:rsidR="003B4D5E" w:rsidRPr="003B4D5E" w:rsidRDefault="003B4D5E" w:rsidP="003B4D5E">
      <w:pPr>
        <w:numPr>
          <w:ilvl w:val="0"/>
          <w:numId w:val="50"/>
        </w:numPr>
      </w:pPr>
      <w:r w:rsidRPr="003B4D5E">
        <w:rPr>
          <w:b/>
          <w:bCs/>
        </w:rPr>
        <w:t>31 councils</w:t>
      </w:r>
      <w:r w:rsidRPr="003B4D5E">
        <w:t xml:space="preserve"> responded </w:t>
      </w:r>
      <w:r w:rsidRPr="003B4D5E">
        <w:rPr>
          <w:b/>
          <w:bCs/>
        </w:rPr>
        <w:t>Unsure</w:t>
      </w:r>
      <w:r w:rsidRPr="003B4D5E">
        <w:t xml:space="preserve"> </w:t>
      </w:r>
    </w:p>
    <w:p w14:paraId="3D4C7EE0" w14:textId="234C4629" w:rsidR="003B4D5E" w:rsidRPr="003B4D5E" w:rsidRDefault="003B4D5E" w:rsidP="003B4D5E">
      <w:r w:rsidRPr="003B4D5E">
        <w:t>This evenly split profile underscores the importance of targeted support</w:t>
      </w:r>
      <w:r w:rsidR="00E218CE">
        <w:t>. W</w:t>
      </w:r>
      <w:r w:rsidRPr="003B4D5E">
        <w:t xml:space="preserve">hen asked what they would require in order to take on more services under </w:t>
      </w:r>
      <w:r>
        <w:t>LGR, most cited multiple reasons, namely:</w:t>
      </w:r>
    </w:p>
    <w:p w14:paraId="3AAC2AEC" w14:textId="77777777" w:rsidR="003B4D5E" w:rsidRPr="003B4D5E" w:rsidRDefault="003B4D5E" w:rsidP="003B4D5E">
      <w:pPr>
        <w:numPr>
          <w:ilvl w:val="0"/>
          <w:numId w:val="51"/>
        </w:numPr>
      </w:pPr>
      <w:r w:rsidRPr="003B4D5E">
        <w:rPr>
          <w:b/>
          <w:bCs/>
        </w:rPr>
        <w:t>Training</w:t>
      </w:r>
      <w:r w:rsidRPr="003B4D5E">
        <w:t xml:space="preserve"> – mentioned by </w:t>
      </w:r>
      <w:r w:rsidRPr="003B4D5E">
        <w:rPr>
          <w:b/>
          <w:bCs/>
        </w:rPr>
        <w:t>66 councils</w:t>
      </w:r>
    </w:p>
    <w:p w14:paraId="79F76783" w14:textId="77777777" w:rsidR="003B4D5E" w:rsidRPr="003B4D5E" w:rsidRDefault="003B4D5E" w:rsidP="003B4D5E">
      <w:pPr>
        <w:numPr>
          <w:ilvl w:val="0"/>
          <w:numId w:val="51"/>
        </w:numPr>
      </w:pPr>
      <w:r w:rsidRPr="003B4D5E">
        <w:rPr>
          <w:b/>
          <w:bCs/>
        </w:rPr>
        <w:t>Funding</w:t>
      </w:r>
      <w:r w:rsidRPr="003B4D5E">
        <w:t xml:space="preserve"> – mentioned by </w:t>
      </w:r>
      <w:r w:rsidRPr="003B4D5E">
        <w:rPr>
          <w:b/>
          <w:bCs/>
        </w:rPr>
        <w:t>68 councils</w:t>
      </w:r>
    </w:p>
    <w:p w14:paraId="234B0D3E" w14:textId="77777777" w:rsidR="003B4D5E" w:rsidRPr="003B4D5E" w:rsidRDefault="003B4D5E" w:rsidP="003B4D5E">
      <w:pPr>
        <w:numPr>
          <w:ilvl w:val="0"/>
          <w:numId w:val="51"/>
        </w:numPr>
      </w:pPr>
      <w:r w:rsidRPr="003B4D5E">
        <w:rPr>
          <w:b/>
          <w:bCs/>
        </w:rPr>
        <w:t>Staffing</w:t>
      </w:r>
      <w:r w:rsidRPr="003B4D5E">
        <w:t xml:space="preserve"> – mentioned by </w:t>
      </w:r>
      <w:r w:rsidRPr="003B4D5E">
        <w:rPr>
          <w:b/>
          <w:bCs/>
        </w:rPr>
        <w:t>53 councils</w:t>
      </w:r>
    </w:p>
    <w:p w14:paraId="1147D8B8" w14:textId="77777777" w:rsidR="003B4D5E" w:rsidRPr="003B4D5E" w:rsidRDefault="003B4D5E" w:rsidP="003B4D5E">
      <w:pPr>
        <w:numPr>
          <w:ilvl w:val="0"/>
          <w:numId w:val="51"/>
        </w:numPr>
      </w:pPr>
      <w:r w:rsidRPr="003B4D5E">
        <w:rPr>
          <w:b/>
          <w:bCs/>
        </w:rPr>
        <w:t>Legal Advice</w:t>
      </w:r>
      <w:r w:rsidRPr="003B4D5E">
        <w:t xml:space="preserve"> – mentioned by </w:t>
      </w:r>
      <w:r w:rsidRPr="003B4D5E">
        <w:rPr>
          <w:b/>
          <w:bCs/>
        </w:rPr>
        <w:t>47 councils</w:t>
      </w:r>
    </w:p>
    <w:p w14:paraId="0C51D27B" w14:textId="77777777" w:rsidR="003B4D5E" w:rsidRPr="003B4D5E" w:rsidRDefault="003B4D5E" w:rsidP="003B4D5E">
      <w:pPr>
        <w:numPr>
          <w:ilvl w:val="0"/>
          <w:numId w:val="51"/>
        </w:numPr>
      </w:pPr>
      <w:r w:rsidRPr="003B4D5E">
        <w:rPr>
          <w:b/>
          <w:bCs/>
        </w:rPr>
        <w:t>Other</w:t>
      </w:r>
      <w:r w:rsidRPr="003B4D5E">
        <w:t xml:space="preserve"> – mentioned by </w:t>
      </w:r>
      <w:r w:rsidRPr="003B4D5E">
        <w:rPr>
          <w:b/>
          <w:bCs/>
        </w:rPr>
        <w:t>12 councils</w:t>
      </w:r>
    </w:p>
    <w:p w14:paraId="6990F2DC" w14:textId="62023190" w:rsidR="0039014C" w:rsidRPr="0039014C" w:rsidRDefault="0039014C" w:rsidP="0039014C">
      <w:r>
        <w:t>“Other” reasons includ</w:t>
      </w:r>
      <w:r w:rsidRPr="0039014C">
        <w:t>ed:</w:t>
      </w:r>
    </w:p>
    <w:p w14:paraId="78C1D409" w14:textId="77777777" w:rsidR="0039014C" w:rsidRPr="0039014C" w:rsidRDefault="0039014C" w:rsidP="0039014C">
      <w:pPr>
        <w:numPr>
          <w:ilvl w:val="0"/>
          <w:numId w:val="52"/>
        </w:numPr>
      </w:pPr>
      <w:r w:rsidRPr="0039014C">
        <w:rPr>
          <w:b/>
          <w:bCs/>
        </w:rPr>
        <w:t>Office space constraints</w:t>
      </w:r>
      <w:r w:rsidRPr="0039014C">
        <w:t>: Multiple councils highlighted physical limitations, such as working out of very small offices or shared buildings, with inadequate space for additional staff or record storage.</w:t>
      </w:r>
    </w:p>
    <w:p w14:paraId="3EF04F9C" w14:textId="402C6AF0" w:rsidR="0039014C" w:rsidRPr="0039014C" w:rsidRDefault="0039014C" w:rsidP="0039014C">
      <w:pPr>
        <w:numPr>
          <w:ilvl w:val="0"/>
          <w:numId w:val="52"/>
        </w:numPr>
      </w:pPr>
      <w:r w:rsidRPr="0039014C">
        <w:rPr>
          <w:b/>
          <w:bCs/>
        </w:rPr>
        <w:t>Lack of clarity on responsibilities</w:t>
      </w:r>
      <w:r w:rsidRPr="0039014C">
        <w:t>: There was a consistent call for more information about what services might be devolved. This uncertainty makes it hard for councils to plan staffing, training or budgeting.</w:t>
      </w:r>
    </w:p>
    <w:p w14:paraId="242AF4B5" w14:textId="77777777" w:rsidR="0039014C" w:rsidRPr="0039014C" w:rsidRDefault="0039014C" w:rsidP="0039014C">
      <w:pPr>
        <w:numPr>
          <w:ilvl w:val="0"/>
          <w:numId w:val="52"/>
        </w:numPr>
      </w:pPr>
      <w:r w:rsidRPr="0039014C">
        <w:rPr>
          <w:b/>
          <w:bCs/>
        </w:rPr>
        <w:t>Financial and risk concerns</w:t>
      </w:r>
      <w:r w:rsidRPr="0039014C">
        <w:t>: Some councils expressed the need for financial underwriting or guarantees when taking on high-liability assets like contaminated land or derelict buildings. There was also interest in ensuring income-generating assets accompany any responsibilities transferred.</w:t>
      </w:r>
    </w:p>
    <w:p w14:paraId="1EFA7FD9" w14:textId="77777777" w:rsidR="0039014C" w:rsidRPr="0039014C" w:rsidRDefault="0039014C" w:rsidP="0039014C">
      <w:pPr>
        <w:numPr>
          <w:ilvl w:val="0"/>
          <w:numId w:val="52"/>
        </w:numPr>
      </w:pPr>
      <w:r w:rsidRPr="0039014C">
        <w:rPr>
          <w:b/>
          <w:bCs/>
        </w:rPr>
        <w:t>Realistic planning time</w:t>
      </w:r>
      <w:r w:rsidRPr="0039014C">
        <w:t>: Several councils noted they would need time and transitional support to restructure, resource, and prepare for expanded duties.</w:t>
      </w:r>
    </w:p>
    <w:p w14:paraId="0B07753D" w14:textId="77777777" w:rsidR="0039014C" w:rsidRPr="0039014C" w:rsidRDefault="0039014C" w:rsidP="0039014C">
      <w:pPr>
        <w:numPr>
          <w:ilvl w:val="0"/>
          <w:numId w:val="52"/>
        </w:numPr>
      </w:pPr>
      <w:r w:rsidRPr="0039014C">
        <w:rPr>
          <w:b/>
          <w:bCs/>
        </w:rPr>
        <w:t>Partnership infrastructure</w:t>
      </w:r>
      <w:r w:rsidRPr="0039014C">
        <w:t>: A few councils suggested creating or subscribing to shared business support services (e.g. for HR, legal, estate management) as a way to build collective capacity.</w:t>
      </w:r>
    </w:p>
    <w:p w14:paraId="54D8AF77" w14:textId="77777777" w:rsidR="0039014C" w:rsidRPr="00904815" w:rsidRDefault="0039014C" w:rsidP="0039014C">
      <w:pPr>
        <w:pStyle w:val="NormalWeb"/>
        <w:spacing w:after="160" w:afterAutospacing="0" w:line="259" w:lineRule="auto"/>
        <w:rPr>
          <w:rFonts w:asciiTheme="minorHAnsi" w:hAnsiTheme="minorHAnsi"/>
          <w:color w:val="808080" w:themeColor="background1" w:themeShade="80"/>
          <w:sz w:val="28"/>
          <w:szCs w:val="28"/>
        </w:rPr>
      </w:pPr>
      <w:r w:rsidRPr="00904815">
        <w:rPr>
          <w:rStyle w:val="Strong"/>
          <w:rFonts w:asciiTheme="minorHAnsi" w:eastAsiaTheme="majorEastAsia" w:hAnsiTheme="minorHAnsi"/>
          <w:color w:val="808080" w:themeColor="background1" w:themeShade="80"/>
          <w:sz w:val="28"/>
          <w:szCs w:val="28"/>
        </w:rPr>
        <w:t>Understanding Financial Readiness and Support Needs</w:t>
      </w:r>
    </w:p>
    <w:p w14:paraId="17D056AD" w14:textId="665C3B94" w:rsidR="0039014C" w:rsidRDefault="0039014C" w:rsidP="0039014C">
      <w:pPr>
        <w:pStyle w:val="NormalWeb"/>
        <w:spacing w:after="160" w:afterAutospacing="0" w:line="259" w:lineRule="auto"/>
        <w:rPr>
          <w:rFonts w:asciiTheme="minorHAnsi" w:hAnsiTheme="minorHAnsi"/>
          <w:sz w:val="22"/>
          <w:szCs w:val="22"/>
        </w:rPr>
      </w:pPr>
      <w:r w:rsidRPr="0039014C">
        <w:rPr>
          <w:rFonts w:asciiTheme="minorHAnsi" w:hAnsiTheme="minorHAnsi"/>
          <w:sz w:val="22"/>
          <w:szCs w:val="22"/>
        </w:rPr>
        <w:t xml:space="preserve">This section explores how parish and town councils perceive the financial implications of devolution, including whether they anticipate a financial impact on their operations, their willingness to raise the precept, and what types of financial support they believe would be necessary to take on additional responsibilities. </w:t>
      </w:r>
      <w:r>
        <w:rPr>
          <w:rFonts w:asciiTheme="minorHAnsi" w:hAnsiTheme="minorHAnsi"/>
          <w:sz w:val="22"/>
          <w:szCs w:val="22"/>
        </w:rPr>
        <w:t>T</w:t>
      </w:r>
      <w:r w:rsidRPr="0039014C">
        <w:rPr>
          <w:rFonts w:asciiTheme="minorHAnsi" w:hAnsiTheme="minorHAnsi"/>
          <w:sz w:val="22"/>
          <w:szCs w:val="22"/>
        </w:rPr>
        <w:t xml:space="preserve">he data provides a clear indication of both financial caution and practical considerations councils are already weighing as part of any </w:t>
      </w:r>
      <w:r w:rsidRPr="0039014C">
        <w:rPr>
          <w:rFonts w:asciiTheme="minorHAnsi" w:hAnsiTheme="minorHAnsi"/>
          <w:sz w:val="22"/>
          <w:szCs w:val="22"/>
        </w:rPr>
        <w:lastRenderedPageBreak/>
        <w:t>transition. It highlights not only budgetary pressures, but also the need for transparent funding arrangements and accessible financial support mechanisms.</w:t>
      </w:r>
    </w:p>
    <w:p w14:paraId="32FFBB90" w14:textId="42C5A3E8" w:rsidR="00031620" w:rsidRPr="00031620" w:rsidRDefault="00031620" w:rsidP="00031620">
      <w:pPr>
        <w:pStyle w:val="NormalWeb"/>
        <w:spacing w:after="160" w:afterAutospacing="0" w:line="259" w:lineRule="auto"/>
        <w:rPr>
          <w:rFonts w:asciiTheme="minorHAnsi" w:hAnsiTheme="minorHAnsi"/>
          <w:sz w:val="22"/>
          <w:szCs w:val="22"/>
        </w:rPr>
      </w:pPr>
      <w:r w:rsidRPr="00031620">
        <w:rPr>
          <w:rFonts w:asciiTheme="minorHAnsi" w:hAnsiTheme="minorHAnsi"/>
          <w:b/>
          <w:bCs/>
          <w:sz w:val="22"/>
          <w:szCs w:val="22"/>
        </w:rPr>
        <w:t>How concerned is your Council about the financial impact of taking on new responsibilities?</w:t>
      </w:r>
    </w:p>
    <w:p w14:paraId="17CB5E5A" w14:textId="77777777" w:rsidR="00031620" w:rsidRPr="00031620" w:rsidRDefault="00031620" w:rsidP="00031620">
      <w:pPr>
        <w:pStyle w:val="NormalWeb"/>
        <w:numPr>
          <w:ilvl w:val="0"/>
          <w:numId w:val="53"/>
        </w:numPr>
        <w:spacing w:after="160" w:afterAutospacing="0" w:line="259" w:lineRule="auto"/>
        <w:rPr>
          <w:rFonts w:asciiTheme="minorHAnsi" w:hAnsiTheme="minorHAnsi"/>
          <w:sz w:val="22"/>
          <w:szCs w:val="22"/>
        </w:rPr>
      </w:pPr>
      <w:r w:rsidRPr="00031620">
        <w:rPr>
          <w:rFonts w:asciiTheme="minorHAnsi" w:hAnsiTheme="minorHAnsi"/>
          <w:b/>
          <w:bCs/>
          <w:sz w:val="22"/>
          <w:szCs w:val="22"/>
        </w:rPr>
        <w:t>36 councils</w:t>
      </w:r>
      <w:r w:rsidRPr="00031620">
        <w:rPr>
          <w:rFonts w:asciiTheme="minorHAnsi" w:hAnsiTheme="minorHAnsi"/>
          <w:sz w:val="22"/>
          <w:szCs w:val="22"/>
        </w:rPr>
        <w:t xml:space="preserve"> said they are </w:t>
      </w:r>
      <w:r w:rsidRPr="00031620">
        <w:rPr>
          <w:rFonts w:asciiTheme="minorHAnsi" w:hAnsiTheme="minorHAnsi"/>
          <w:b/>
          <w:bCs/>
          <w:sz w:val="22"/>
          <w:szCs w:val="22"/>
        </w:rPr>
        <w:t>Very concerned</w:t>
      </w:r>
    </w:p>
    <w:p w14:paraId="6FEF70C5" w14:textId="77777777" w:rsidR="00031620" w:rsidRPr="00031620" w:rsidRDefault="00031620" w:rsidP="00031620">
      <w:pPr>
        <w:pStyle w:val="NormalWeb"/>
        <w:numPr>
          <w:ilvl w:val="0"/>
          <w:numId w:val="53"/>
        </w:numPr>
        <w:spacing w:after="160" w:afterAutospacing="0" w:line="259" w:lineRule="auto"/>
        <w:rPr>
          <w:rFonts w:asciiTheme="minorHAnsi" w:hAnsiTheme="minorHAnsi"/>
          <w:sz w:val="22"/>
          <w:szCs w:val="22"/>
        </w:rPr>
      </w:pPr>
      <w:r w:rsidRPr="00031620">
        <w:rPr>
          <w:rFonts w:asciiTheme="minorHAnsi" w:hAnsiTheme="minorHAnsi"/>
          <w:b/>
          <w:bCs/>
          <w:sz w:val="22"/>
          <w:szCs w:val="22"/>
        </w:rPr>
        <w:t>33 councils</w:t>
      </w:r>
      <w:r w:rsidRPr="00031620">
        <w:rPr>
          <w:rFonts w:asciiTheme="minorHAnsi" w:hAnsiTheme="minorHAnsi"/>
          <w:sz w:val="22"/>
          <w:szCs w:val="22"/>
        </w:rPr>
        <w:t xml:space="preserve"> said they are </w:t>
      </w:r>
      <w:r w:rsidRPr="00031620">
        <w:rPr>
          <w:rFonts w:asciiTheme="minorHAnsi" w:hAnsiTheme="minorHAnsi"/>
          <w:b/>
          <w:bCs/>
          <w:sz w:val="22"/>
          <w:szCs w:val="22"/>
        </w:rPr>
        <w:t>Somewhat concerned</w:t>
      </w:r>
    </w:p>
    <w:p w14:paraId="4FC619BF" w14:textId="77777777" w:rsidR="00031620" w:rsidRPr="00031620" w:rsidRDefault="00031620" w:rsidP="00031620">
      <w:pPr>
        <w:pStyle w:val="NormalWeb"/>
        <w:numPr>
          <w:ilvl w:val="0"/>
          <w:numId w:val="53"/>
        </w:numPr>
        <w:spacing w:after="160" w:afterAutospacing="0" w:line="259" w:lineRule="auto"/>
        <w:rPr>
          <w:rFonts w:asciiTheme="minorHAnsi" w:hAnsiTheme="minorHAnsi"/>
          <w:sz w:val="22"/>
          <w:szCs w:val="22"/>
        </w:rPr>
      </w:pPr>
      <w:r w:rsidRPr="00031620">
        <w:rPr>
          <w:rFonts w:asciiTheme="minorHAnsi" w:hAnsiTheme="minorHAnsi"/>
          <w:b/>
          <w:bCs/>
          <w:sz w:val="22"/>
          <w:szCs w:val="22"/>
        </w:rPr>
        <w:t>4 councils</w:t>
      </w:r>
      <w:r w:rsidRPr="00031620">
        <w:rPr>
          <w:rFonts w:asciiTheme="minorHAnsi" w:hAnsiTheme="minorHAnsi"/>
          <w:sz w:val="22"/>
          <w:szCs w:val="22"/>
        </w:rPr>
        <w:t xml:space="preserve"> said they are </w:t>
      </w:r>
      <w:r w:rsidRPr="00031620">
        <w:rPr>
          <w:rFonts w:asciiTheme="minorHAnsi" w:hAnsiTheme="minorHAnsi"/>
          <w:b/>
          <w:bCs/>
          <w:sz w:val="22"/>
          <w:szCs w:val="22"/>
        </w:rPr>
        <w:t>Not concerned</w:t>
      </w:r>
    </w:p>
    <w:p w14:paraId="7DD688AD" w14:textId="6FE09D10" w:rsidR="00031620" w:rsidRDefault="00031620" w:rsidP="00031620">
      <w:pPr>
        <w:pStyle w:val="NormalWeb"/>
        <w:numPr>
          <w:ilvl w:val="0"/>
          <w:numId w:val="53"/>
        </w:numPr>
        <w:spacing w:after="160" w:afterAutospacing="0" w:line="259" w:lineRule="auto"/>
        <w:rPr>
          <w:rFonts w:asciiTheme="minorHAnsi" w:hAnsiTheme="minorHAnsi"/>
          <w:sz w:val="22"/>
          <w:szCs w:val="22"/>
        </w:rPr>
      </w:pPr>
      <w:r w:rsidRPr="00031620">
        <w:rPr>
          <w:rFonts w:asciiTheme="minorHAnsi" w:hAnsiTheme="minorHAnsi"/>
          <w:b/>
          <w:bCs/>
          <w:sz w:val="22"/>
          <w:szCs w:val="22"/>
        </w:rPr>
        <w:t>1 council</w:t>
      </w:r>
      <w:r w:rsidRPr="00031620">
        <w:rPr>
          <w:rFonts w:asciiTheme="minorHAnsi" w:hAnsiTheme="minorHAnsi"/>
          <w:sz w:val="22"/>
          <w:szCs w:val="22"/>
        </w:rPr>
        <w:t xml:space="preserve"> </w:t>
      </w:r>
      <w:r>
        <w:rPr>
          <w:rFonts w:asciiTheme="minorHAnsi" w:hAnsiTheme="minorHAnsi"/>
          <w:sz w:val="22"/>
          <w:szCs w:val="22"/>
        </w:rPr>
        <w:t xml:space="preserve">(consolidated response) </w:t>
      </w:r>
      <w:r w:rsidRPr="00031620">
        <w:rPr>
          <w:rFonts w:asciiTheme="minorHAnsi" w:hAnsiTheme="minorHAnsi"/>
          <w:sz w:val="22"/>
          <w:szCs w:val="22"/>
        </w:rPr>
        <w:t xml:space="preserve">gave a </w:t>
      </w:r>
      <w:r>
        <w:rPr>
          <w:rFonts w:asciiTheme="minorHAnsi" w:hAnsiTheme="minorHAnsi"/>
          <w:sz w:val="22"/>
          <w:szCs w:val="22"/>
        </w:rPr>
        <w:t xml:space="preserve">range of </w:t>
      </w:r>
      <w:r w:rsidRPr="00031620">
        <w:rPr>
          <w:rFonts w:asciiTheme="minorHAnsi" w:hAnsiTheme="minorHAnsi"/>
          <w:sz w:val="22"/>
          <w:szCs w:val="22"/>
        </w:rPr>
        <w:t xml:space="preserve">answers varied from </w:t>
      </w:r>
      <w:r>
        <w:rPr>
          <w:rFonts w:asciiTheme="minorHAnsi" w:hAnsiTheme="minorHAnsi"/>
          <w:sz w:val="22"/>
          <w:szCs w:val="22"/>
        </w:rPr>
        <w:t>“</w:t>
      </w:r>
      <w:r w:rsidRPr="00031620">
        <w:rPr>
          <w:rFonts w:asciiTheme="minorHAnsi" w:hAnsiTheme="minorHAnsi"/>
          <w:sz w:val="22"/>
          <w:szCs w:val="22"/>
        </w:rPr>
        <w:t>not concerned</w:t>
      </w:r>
      <w:r>
        <w:rPr>
          <w:rFonts w:asciiTheme="minorHAnsi" w:hAnsiTheme="minorHAnsi"/>
          <w:sz w:val="22"/>
          <w:szCs w:val="22"/>
        </w:rPr>
        <w:t>”</w:t>
      </w:r>
      <w:r w:rsidRPr="00031620">
        <w:rPr>
          <w:rFonts w:asciiTheme="minorHAnsi" w:hAnsiTheme="minorHAnsi"/>
          <w:sz w:val="22"/>
          <w:szCs w:val="22"/>
        </w:rPr>
        <w:t xml:space="preserve"> to </w:t>
      </w:r>
      <w:r>
        <w:rPr>
          <w:rFonts w:asciiTheme="minorHAnsi" w:hAnsiTheme="minorHAnsi"/>
          <w:sz w:val="22"/>
          <w:szCs w:val="22"/>
        </w:rPr>
        <w:t>“</w:t>
      </w:r>
      <w:r w:rsidRPr="00031620">
        <w:rPr>
          <w:rFonts w:asciiTheme="minorHAnsi" w:hAnsiTheme="minorHAnsi"/>
          <w:sz w:val="22"/>
          <w:szCs w:val="22"/>
        </w:rPr>
        <w:t>very concerned”</w:t>
      </w:r>
    </w:p>
    <w:p w14:paraId="02CE358F" w14:textId="77777777" w:rsidR="00031620" w:rsidRPr="00031620" w:rsidRDefault="00031620" w:rsidP="00E218CE">
      <w:pPr>
        <w:pStyle w:val="NormalWeb"/>
        <w:spacing w:after="160" w:afterAutospacing="0" w:line="259" w:lineRule="auto"/>
        <w:rPr>
          <w:rFonts w:asciiTheme="minorHAnsi" w:hAnsiTheme="minorHAnsi"/>
          <w:sz w:val="22"/>
          <w:szCs w:val="22"/>
        </w:rPr>
      </w:pPr>
      <w:r w:rsidRPr="00031620">
        <w:rPr>
          <w:rFonts w:asciiTheme="minorHAnsi" w:hAnsiTheme="minorHAnsi"/>
          <w:sz w:val="22"/>
          <w:szCs w:val="22"/>
        </w:rPr>
        <w:t>In response to whether councils would be willing to raise their precept to fund new responsibilities:</w:t>
      </w:r>
    </w:p>
    <w:p w14:paraId="3BE96233" w14:textId="77777777" w:rsidR="00031620" w:rsidRPr="00031620" w:rsidRDefault="00031620" w:rsidP="00E218CE">
      <w:pPr>
        <w:pStyle w:val="NormalWeb"/>
        <w:numPr>
          <w:ilvl w:val="0"/>
          <w:numId w:val="54"/>
        </w:numPr>
        <w:spacing w:after="160" w:afterAutospacing="0" w:line="259" w:lineRule="auto"/>
        <w:rPr>
          <w:rFonts w:asciiTheme="minorHAnsi" w:hAnsiTheme="minorHAnsi"/>
          <w:sz w:val="22"/>
          <w:szCs w:val="22"/>
        </w:rPr>
      </w:pPr>
      <w:r w:rsidRPr="00031620">
        <w:rPr>
          <w:rStyle w:val="Strong"/>
          <w:rFonts w:asciiTheme="minorHAnsi" w:eastAsiaTheme="majorEastAsia" w:hAnsiTheme="minorHAnsi"/>
          <w:sz w:val="22"/>
          <w:szCs w:val="22"/>
        </w:rPr>
        <w:t>17 councils</w:t>
      </w:r>
      <w:r w:rsidRPr="00031620">
        <w:rPr>
          <w:rFonts w:asciiTheme="minorHAnsi" w:hAnsiTheme="minorHAnsi"/>
          <w:sz w:val="22"/>
          <w:szCs w:val="22"/>
        </w:rPr>
        <w:t xml:space="preserve"> said </w:t>
      </w:r>
      <w:r w:rsidRPr="00031620">
        <w:rPr>
          <w:rStyle w:val="Strong"/>
          <w:rFonts w:asciiTheme="minorHAnsi" w:eastAsiaTheme="majorEastAsia" w:hAnsiTheme="minorHAnsi"/>
          <w:sz w:val="22"/>
          <w:szCs w:val="22"/>
        </w:rPr>
        <w:t>Yes</w:t>
      </w:r>
    </w:p>
    <w:p w14:paraId="036921AA" w14:textId="77777777" w:rsidR="00031620" w:rsidRPr="00031620" w:rsidRDefault="00031620" w:rsidP="00E218CE">
      <w:pPr>
        <w:pStyle w:val="NormalWeb"/>
        <w:numPr>
          <w:ilvl w:val="0"/>
          <w:numId w:val="54"/>
        </w:numPr>
        <w:spacing w:after="160" w:afterAutospacing="0" w:line="259" w:lineRule="auto"/>
        <w:rPr>
          <w:rFonts w:asciiTheme="minorHAnsi" w:hAnsiTheme="minorHAnsi"/>
          <w:sz w:val="22"/>
          <w:szCs w:val="22"/>
        </w:rPr>
      </w:pPr>
      <w:r w:rsidRPr="00031620">
        <w:rPr>
          <w:rStyle w:val="Strong"/>
          <w:rFonts w:asciiTheme="minorHAnsi" w:eastAsiaTheme="majorEastAsia" w:hAnsiTheme="minorHAnsi"/>
          <w:sz w:val="22"/>
          <w:szCs w:val="22"/>
        </w:rPr>
        <w:t>14 councils</w:t>
      </w:r>
      <w:r w:rsidRPr="00031620">
        <w:rPr>
          <w:rFonts w:asciiTheme="minorHAnsi" w:hAnsiTheme="minorHAnsi"/>
          <w:sz w:val="22"/>
          <w:szCs w:val="22"/>
        </w:rPr>
        <w:t xml:space="preserve"> said </w:t>
      </w:r>
      <w:r w:rsidRPr="00031620">
        <w:rPr>
          <w:rStyle w:val="Strong"/>
          <w:rFonts w:asciiTheme="minorHAnsi" w:eastAsiaTheme="majorEastAsia" w:hAnsiTheme="minorHAnsi"/>
          <w:sz w:val="22"/>
          <w:szCs w:val="22"/>
        </w:rPr>
        <w:t>No</w:t>
      </w:r>
    </w:p>
    <w:p w14:paraId="733D26C9" w14:textId="55FC8D9B" w:rsidR="00031620" w:rsidRPr="00031620" w:rsidRDefault="00031620" w:rsidP="00E218CE">
      <w:pPr>
        <w:pStyle w:val="NormalWeb"/>
        <w:numPr>
          <w:ilvl w:val="0"/>
          <w:numId w:val="54"/>
        </w:numPr>
        <w:spacing w:after="160" w:afterAutospacing="0" w:line="259" w:lineRule="auto"/>
        <w:rPr>
          <w:rFonts w:asciiTheme="minorHAnsi" w:hAnsiTheme="minorHAnsi"/>
          <w:sz w:val="22"/>
          <w:szCs w:val="22"/>
        </w:rPr>
      </w:pPr>
      <w:r w:rsidRPr="00031620">
        <w:rPr>
          <w:rStyle w:val="Strong"/>
          <w:rFonts w:asciiTheme="minorHAnsi" w:eastAsiaTheme="majorEastAsia" w:hAnsiTheme="minorHAnsi"/>
          <w:sz w:val="22"/>
          <w:szCs w:val="22"/>
        </w:rPr>
        <w:t>4</w:t>
      </w:r>
      <w:r>
        <w:rPr>
          <w:rStyle w:val="Strong"/>
          <w:rFonts w:asciiTheme="minorHAnsi" w:eastAsiaTheme="majorEastAsia" w:hAnsiTheme="minorHAnsi"/>
          <w:sz w:val="22"/>
          <w:szCs w:val="22"/>
        </w:rPr>
        <w:t>2</w:t>
      </w:r>
      <w:r w:rsidRPr="00031620">
        <w:rPr>
          <w:rStyle w:val="Strong"/>
          <w:rFonts w:asciiTheme="minorHAnsi" w:eastAsiaTheme="majorEastAsia" w:hAnsiTheme="minorHAnsi"/>
          <w:sz w:val="22"/>
          <w:szCs w:val="22"/>
        </w:rPr>
        <w:t xml:space="preserve"> councils</w:t>
      </w:r>
      <w:r w:rsidRPr="00031620">
        <w:rPr>
          <w:rFonts w:asciiTheme="minorHAnsi" w:hAnsiTheme="minorHAnsi"/>
          <w:sz w:val="22"/>
          <w:szCs w:val="22"/>
        </w:rPr>
        <w:t xml:space="preserve"> said they were </w:t>
      </w:r>
      <w:r w:rsidRPr="00031620">
        <w:rPr>
          <w:rStyle w:val="Strong"/>
          <w:rFonts w:asciiTheme="minorHAnsi" w:eastAsiaTheme="majorEastAsia" w:hAnsiTheme="minorHAnsi"/>
          <w:sz w:val="22"/>
          <w:szCs w:val="22"/>
        </w:rPr>
        <w:t>Not sure</w:t>
      </w:r>
    </w:p>
    <w:p w14:paraId="5725FB03" w14:textId="77777777" w:rsidR="00031620" w:rsidRPr="00031620" w:rsidRDefault="00031620" w:rsidP="00E218CE">
      <w:pPr>
        <w:pStyle w:val="NormalWeb"/>
        <w:numPr>
          <w:ilvl w:val="0"/>
          <w:numId w:val="54"/>
        </w:numPr>
        <w:spacing w:after="160" w:afterAutospacing="0" w:line="259" w:lineRule="auto"/>
        <w:rPr>
          <w:rFonts w:asciiTheme="minorHAnsi" w:hAnsiTheme="minorHAnsi"/>
          <w:sz w:val="22"/>
          <w:szCs w:val="22"/>
        </w:rPr>
      </w:pPr>
      <w:r w:rsidRPr="00031620">
        <w:rPr>
          <w:rStyle w:val="Strong"/>
          <w:rFonts w:asciiTheme="minorHAnsi" w:eastAsiaTheme="majorEastAsia" w:hAnsiTheme="minorHAnsi"/>
          <w:sz w:val="22"/>
          <w:szCs w:val="22"/>
        </w:rPr>
        <w:t>2 councils</w:t>
      </w:r>
      <w:r w:rsidRPr="00031620">
        <w:rPr>
          <w:rFonts w:asciiTheme="minorHAnsi" w:hAnsiTheme="minorHAnsi"/>
          <w:sz w:val="22"/>
          <w:szCs w:val="22"/>
        </w:rPr>
        <w:t xml:space="preserve"> did not respond</w:t>
      </w:r>
    </w:p>
    <w:p w14:paraId="671B8571" w14:textId="54D15AEF" w:rsidR="00031620" w:rsidRPr="00031620" w:rsidRDefault="00031620" w:rsidP="00031620">
      <w:pPr>
        <w:pStyle w:val="NormalWeb"/>
        <w:rPr>
          <w:rFonts w:asciiTheme="minorHAnsi" w:hAnsiTheme="minorHAnsi"/>
          <w:sz w:val="22"/>
          <w:szCs w:val="22"/>
        </w:rPr>
      </w:pPr>
      <w:r w:rsidRPr="00031620">
        <w:rPr>
          <w:rFonts w:asciiTheme="minorHAnsi" w:hAnsiTheme="minorHAnsi"/>
          <w:sz w:val="22"/>
          <w:szCs w:val="22"/>
        </w:rPr>
        <w:t>This reveals considerable uncertainty across the sector</w:t>
      </w:r>
      <w:r>
        <w:rPr>
          <w:rFonts w:asciiTheme="minorHAnsi" w:hAnsiTheme="minorHAnsi"/>
          <w:sz w:val="22"/>
          <w:szCs w:val="22"/>
        </w:rPr>
        <w:t>.</w:t>
      </w:r>
    </w:p>
    <w:p w14:paraId="79A7D5C4" w14:textId="77777777" w:rsidR="00031620" w:rsidRPr="00031620" w:rsidRDefault="00031620" w:rsidP="00031620">
      <w:r w:rsidRPr="00031620">
        <w:rPr>
          <w:b/>
          <w:bCs/>
        </w:rPr>
        <w:t>Reluctance and Uncertainty Around Raising the Precept</w:t>
      </w:r>
    </w:p>
    <w:p w14:paraId="36C0CA72" w14:textId="77777777" w:rsidR="00031620" w:rsidRPr="00031620" w:rsidRDefault="00031620" w:rsidP="00031620">
      <w:r w:rsidRPr="00031620">
        <w:t xml:space="preserve">Among councils that answered </w:t>
      </w:r>
      <w:r w:rsidRPr="00031620">
        <w:rPr>
          <w:b/>
          <w:bCs/>
        </w:rPr>
        <w:t>“No”</w:t>
      </w:r>
      <w:r w:rsidRPr="00031620">
        <w:t xml:space="preserve"> or </w:t>
      </w:r>
      <w:r w:rsidRPr="00031620">
        <w:rPr>
          <w:b/>
          <w:bCs/>
        </w:rPr>
        <w:t>“Not sure”</w:t>
      </w:r>
      <w:r w:rsidRPr="00031620">
        <w:t xml:space="preserve"> to raising the precept, the reasoning points to several key themes:</w:t>
      </w:r>
    </w:p>
    <w:p w14:paraId="1D235633" w14:textId="77777777" w:rsidR="00031620" w:rsidRPr="00031620" w:rsidRDefault="00031620" w:rsidP="00031620">
      <w:pPr>
        <w:numPr>
          <w:ilvl w:val="0"/>
          <w:numId w:val="55"/>
        </w:numPr>
      </w:pPr>
      <w:r w:rsidRPr="00031620">
        <w:rPr>
          <w:b/>
          <w:bCs/>
        </w:rPr>
        <w:t>Double Taxation and Redistribution of Savings</w:t>
      </w:r>
      <w:r w:rsidRPr="00031620">
        <w:br/>
        <w:t>Many councils emphasised that savings from principal authorities (e.g. district councils) should be passed down alongside responsibilities, rather than expecting parish and town councils to raise additional funds. There was strong resistance to any scenario that would result in perceived double taxation.</w:t>
      </w:r>
    </w:p>
    <w:p w14:paraId="6FAEB3BF" w14:textId="77777777" w:rsidR="00031620" w:rsidRPr="00031620" w:rsidRDefault="00031620" w:rsidP="00031620">
      <w:pPr>
        <w:numPr>
          <w:ilvl w:val="0"/>
          <w:numId w:val="55"/>
        </w:numPr>
      </w:pPr>
      <w:r w:rsidRPr="00031620">
        <w:rPr>
          <w:b/>
          <w:bCs/>
        </w:rPr>
        <w:t>Affordability and Socio-Economic Sensitivity</w:t>
      </w:r>
      <w:r w:rsidRPr="00031620">
        <w:br/>
        <w:t>Concerns were raised about the financial pressure this would place on residents, particularly in smaller or socio-economically diverse communities. Some noted that even significant increases in the precept would raise only modest sums, limiting their viability.</w:t>
      </w:r>
    </w:p>
    <w:p w14:paraId="1C32A2B2" w14:textId="77777777" w:rsidR="00031620" w:rsidRPr="00031620" w:rsidRDefault="00031620" w:rsidP="00031620">
      <w:pPr>
        <w:numPr>
          <w:ilvl w:val="0"/>
          <w:numId w:val="55"/>
        </w:numPr>
      </w:pPr>
      <w:r w:rsidRPr="00031620">
        <w:rPr>
          <w:b/>
          <w:bCs/>
        </w:rPr>
        <w:t>Demand for Clarity and Justification</w:t>
      </w:r>
      <w:r w:rsidRPr="00031620">
        <w:br/>
        <w:t>A common response was that without detailed information about what services might be devolved, councils could not justify a tax rise to their communities. Several also stressed the importance of clearly demonstrating tangible benefits to residents if such increases were to be considered.</w:t>
      </w:r>
    </w:p>
    <w:p w14:paraId="5D984753" w14:textId="77777777" w:rsidR="00031620" w:rsidRPr="00031620" w:rsidRDefault="00031620" w:rsidP="00031620">
      <w:pPr>
        <w:numPr>
          <w:ilvl w:val="0"/>
          <w:numId w:val="55"/>
        </w:numPr>
      </w:pPr>
      <w:r w:rsidRPr="00031620">
        <w:rPr>
          <w:b/>
          <w:bCs/>
        </w:rPr>
        <w:t>Council Capacity and Visibility of Effort</w:t>
      </w:r>
      <w:r w:rsidRPr="00031620">
        <w:br/>
        <w:t xml:space="preserve">There was a concern that added responsibilities might result in unseen administrative </w:t>
      </w:r>
      <w:r w:rsidRPr="00031620">
        <w:lastRenderedPageBreak/>
        <w:t>burdens that residents wouldn’t recognise, making it harder to justify the cost. Some suggested that responsibilities should be funded directly by higher tiers of government.</w:t>
      </w:r>
    </w:p>
    <w:p w14:paraId="35F531FD" w14:textId="77777777" w:rsidR="00031620" w:rsidRPr="00031620" w:rsidRDefault="00031620" w:rsidP="00031620">
      <w:pPr>
        <w:numPr>
          <w:ilvl w:val="0"/>
          <w:numId w:val="55"/>
        </w:numPr>
      </w:pPr>
      <w:r w:rsidRPr="00031620">
        <w:rPr>
          <w:b/>
          <w:bCs/>
        </w:rPr>
        <w:t>Conditional Willingness</w:t>
      </w:r>
      <w:r w:rsidRPr="00031620">
        <w:br/>
        <w:t>A few councils indicated they might be willing to raise the precept — but only if offset by reductions in wider Council Tax bills, or if residents had a clear understanding of the trade-offs involved.</w:t>
      </w:r>
    </w:p>
    <w:p w14:paraId="1A8B93E6" w14:textId="426D44FA" w:rsidR="00031620" w:rsidRPr="00031620" w:rsidRDefault="00031620" w:rsidP="00031620">
      <w:r w:rsidRPr="00031620">
        <w:t>This commentary reflects a tension between local willingness to do more and the limitations of community capacity, transparency and financial fairness.</w:t>
      </w:r>
    </w:p>
    <w:p w14:paraId="6F5B4F6E" w14:textId="74FBF9A4" w:rsidR="00D75CCD" w:rsidRPr="00D75CCD" w:rsidRDefault="00D75CCD" w:rsidP="00D75CCD">
      <w:r w:rsidRPr="00D75CCD">
        <w:t xml:space="preserve">Here is the breakdown of responses to </w:t>
      </w:r>
      <w:r w:rsidRPr="00D75CCD">
        <w:rPr>
          <w:b/>
          <w:bCs/>
        </w:rPr>
        <w:t>What level of financial support would your council require to take on additional services?</w:t>
      </w:r>
    </w:p>
    <w:p w14:paraId="1D031098" w14:textId="77777777" w:rsidR="00D75CCD" w:rsidRPr="00D75CCD" w:rsidRDefault="00D75CCD" w:rsidP="00D75CCD">
      <w:pPr>
        <w:numPr>
          <w:ilvl w:val="0"/>
          <w:numId w:val="56"/>
        </w:numPr>
      </w:pPr>
      <w:r w:rsidRPr="00D75CCD">
        <w:rPr>
          <w:b/>
          <w:bCs/>
        </w:rPr>
        <w:t>Full funding to cover all ongoing costs</w:t>
      </w:r>
      <w:r w:rsidRPr="00D75CCD">
        <w:t xml:space="preserve"> – 36 councils</w:t>
      </w:r>
    </w:p>
    <w:p w14:paraId="19A064C6" w14:textId="77777777" w:rsidR="00D75CCD" w:rsidRPr="00D75CCD" w:rsidRDefault="00D75CCD" w:rsidP="00D75CCD">
      <w:pPr>
        <w:numPr>
          <w:ilvl w:val="0"/>
          <w:numId w:val="56"/>
        </w:numPr>
      </w:pPr>
      <w:r w:rsidRPr="00D75CCD">
        <w:rPr>
          <w:b/>
          <w:bCs/>
        </w:rPr>
        <w:t>Not financially viable under any model</w:t>
      </w:r>
      <w:r w:rsidRPr="00D75CCD">
        <w:t xml:space="preserve"> – 3 councils</w:t>
      </w:r>
    </w:p>
    <w:p w14:paraId="3946B355" w14:textId="77777777" w:rsidR="00D75CCD" w:rsidRPr="00D75CCD" w:rsidRDefault="00D75CCD" w:rsidP="00D75CCD">
      <w:pPr>
        <w:numPr>
          <w:ilvl w:val="0"/>
          <w:numId w:val="56"/>
        </w:numPr>
      </w:pPr>
      <w:r w:rsidRPr="00D75CCD">
        <w:rPr>
          <w:b/>
          <w:bCs/>
        </w:rPr>
        <w:t>Partial funding, if the council can raise the difference (e.g. via precept)</w:t>
      </w:r>
      <w:r w:rsidRPr="00D75CCD">
        <w:t xml:space="preserve"> – 8 councils</w:t>
      </w:r>
    </w:p>
    <w:p w14:paraId="685A8E95" w14:textId="515CCAE5" w:rsidR="00D75CCD" w:rsidRPr="00D75CCD" w:rsidRDefault="00D75CCD" w:rsidP="00D75CCD">
      <w:pPr>
        <w:numPr>
          <w:ilvl w:val="0"/>
          <w:numId w:val="56"/>
        </w:numPr>
      </w:pPr>
      <w:r w:rsidRPr="00D75CCD">
        <w:rPr>
          <w:b/>
          <w:bCs/>
        </w:rPr>
        <w:t>Some felt initial set-up costs only, others full funding to cover all costs</w:t>
      </w:r>
      <w:r w:rsidRPr="00D75CCD">
        <w:t xml:space="preserve"> – 1 council</w:t>
      </w:r>
      <w:r>
        <w:t xml:space="preserve"> (consolidated response)</w:t>
      </w:r>
    </w:p>
    <w:p w14:paraId="751CC7A3" w14:textId="77777777" w:rsidR="00D75CCD" w:rsidRPr="00D75CCD" w:rsidRDefault="00D75CCD" w:rsidP="00D75CCD">
      <w:pPr>
        <w:numPr>
          <w:ilvl w:val="0"/>
          <w:numId w:val="56"/>
        </w:numPr>
      </w:pPr>
      <w:r w:rsidRPr="00D75CCD">
        <w:rPr>
          <w:b/>
          <w:bCs/>
        </w:rPr>
        <w:t>Support for set-up or transition only, then self-funded</w:t>
      </w:r>
      <w:r w:rsidRPr="00D75CCD">
        <w:t xml:space="preserve"> – 1 council</w:t>
      </w:r>
    </w:p>
    <w:p w14:paraId="6C23AC6D" w14:textId="77777777" w:rsidR="00D75CCD" w:rsidRPr="00D75CCD" w:rsidRDefault="00D75CCD" w:rsidP="00D75CCD">
      <w:pPr>
        <w:numPr>
          <w:ilvl w:val="0"/>
          <w:numId w:val="56"/>
        </w:numPr>
      </w:pPr>
      <w:r w:rsidRPr="00D75CCD">
        <w:rPr>
          <w:b/>
          <w:bCs/>
        </w:rPr>
        <w:t>Unsure / would need to see a business case</w:t>
      </w:r>
      <w:r w:rsidRPr="00D75CCD">
        <w:t xml:space="preserve"> – 26 councils</w:t>
      </w:r>
    </w:p>
    <w:p w14:paraId="1BA92CC2" w14:textId="29A8258D" w:rsidR="0021652F" w:rsidRPr="00904815" w:rsidRDefault="0021652F" w:rsidP="0021652F">
      <w:pPr>
        <w:rPr>
          <w:b/>
          <w:bCs/>
          <w:color w:val="808080" w:themeColor="background1" w:themeShade="80"/>
          <w:sz w:val="28"/>
          <w:szCs w:val="28"/>
        </w:rPr>
      </w:pPr>
      <w:r w:rsidRPr="00904815">
        <w:rPr>
          <w:b/>
          <w:bCs/>
          <w:color w:val="808080" w:themeColor="background1" w:themeShade="80"/>
          <w:sz w:val="28"/>
          <w:szCs w:val="28"/>
        </w:rPr>
        <w:t>Collaboration &amp; Community Engagement</w:t>
      </w:r>
    </w:p>
    <w:p w14:paraId="3184416F" w14:textId="01A50C15" w:rsidR="009A4E1D" w:rsidRDefault="009A4E1D" w:rsidP="009A4E1D">
      <w:r w:rsidRPr="009A4E1D">
        <w:t>This section explores how parish and town councils perceive their own levels of community engagement and who they currently collaborate with. The findings reflect a broad spectrum of experience and capacity. Given the aspirations of the emerging Place Model — particularly its emphasis on neighbourhood-level working and shared leadership — these insights are vital. They reveal not just willingness, but existing capabilities and local conditions that could either support or hinder future models of collective governance.</w:t>
      </w:r>
    </w:p>
    <w:p w14:paraId="0DDEB30A" w14:textId="39CEFF63" w:rsidR="009A4E1D" w:rsidRPr="009A4E1D" w:rsidRDefault="009A4E1D" w:rsidP="00AD44B7">
      <w:r w:rsidRPr="009A4E1D">
        <w:t>Councils were asked to rate their current level of community engagement and provide detail on any existing collaborative arrangements, including with neighbouring councils, principal authorities and community organisations. Their responses highlight varying degrees of readiness and willingness to participate in broader locality governance structures.</w:t>
      </w:r>
    </w:p>
    <w:p w14:paraId="2F1054CE" w14:textId="77777777" w:rsidR="0021652F" w:rsidRPr="0021652F" w:rsidRDefault="0021652F" w:rsidP="00AD44B7">
      <w:pPr>
        <w:rPr>
          <w:b/>
          <w:bCs/>
        </w:rPr>
      </w:pPr>
      <w:r w:rsidRPr="0021652F">
        <w:rPr>
          <w:b/>
          <w:bCs/>
        </w:rPr>
        <w:t>How Engaged Councils Feel They Are with Their Communities</w:t>
      </w:r>
    </w:p>
    <w:p w14:paraId="3EC370A4" w14:textId="5EAFB29E" w:rsidR="009A4E1D" w:rsidRPr="009A4E1D" w:rsidRDefault="009A4E1D" w:rsidP="00AD44B7">
      <w:pPr>
        <w:numPr>
          <w:ilvl w:val="0"/>
          <w:numId w:val="32"/>
        </w:numPr>
      </w:pPr>
      <w:r w:rsidRPr="009A4E1D">
        <w:rPr>
          <w:b/>
          <w:bCs/>
        </w:rPr>
        <w:t>20 councils (27%)</w:t>
      </w:r>
      <w:r w:rsidRPr="009A4E1D">
        <w:t xml:space="preserve"> rated their engagement as </w:t>
      </w:r>
      <w:r w:rsidRPr="009A4E1D">
        <w:rPr>
          <w:b/>
          <w:bCs/>
        </w:rPr>
        <w:t>Excellent</w:t>
      </w:r>
    </w:p>
    <w:p w14:paraId="6AC51CE4" w14:textId="1564482B" w:rsidR="009A4E1D" w:rsidRPr="009A4E1D" w:rsidRDefault="009A4E1D" w:rsidP="00AD44B7">
      <w:pPr>
        <w:numPr>
          <w:ilvl w:val="0"/>
          <w:numId w:val="32"/>
        </w:numPr>
      </w:pPr>
      <w:r w:rsidRPr="009A4E1D">
        <w:rPr>
          <w:b/>
          <w:bCs/>
        </w:rPr>
        <w:t>33 councils (44%)</w:t>
      </w:r>
      <w:r w:rsidRPr="009A4E1D">
        <w:t xml:space="preserve"> rated their engagement as </w:t>
      </w:r>
      <w:r w:rsidRPr="009A4E1D">
        <w:rPr>
          <w:b/>
          <w:bCs/>
        </w:rPr>
        <w:t>Good</w:t>
      </w:r>
      <w:r w:rsidRPr="009A4E1D">
        <w:t xml:space="preserve"> </w:t>
      </w:r>
    </w:p>
    <w:p w14:paraId="3738BFBA" w14:textId="3DF84FD9" w:rsidR="009A4E1D" w:rsidRPr="009A4E1D" w:rsidRDefault="009A4E1D" w:rsidP="00AD44B7">
      <w:pPr>
        <w:numPr>
          <w:ilvl w:val="0"/>
          <w:numId w:val="32"/>
        </w:numPr>
      </w:pPr>
      <w:r w:rsidRPr="009A4E1D">
        <w:rPr>
          <w:b/>
          <w:bCs/>
        </w:rPr>
        <w:t>1</w:t>
      </w:r>
      <w:r>
        <w:rPr>
          <w:b/>
          <w:bCs/>
        </w:rPr>
        <w:t>9</w:t>
      </w:r>
      <w:r w:rsidRPr="009A4E1D">
        <w:rPr>
          <w:b/>
          <w:bCs/>
        </w:rPr>
        <w:t xml:space="preserve"> councils (24%)</w:t>
      </w:r>
      <w:r w:rsidRPr="009A4E1D">
        <w:t xml:space="preserve"> rated engagement as </w:t>
      </w:r>
      <w:r w:rsidRPr="009A4E1D">
        <w:rPr>
          <w:b/>
          <w:bCs/>
        </w:rPr>
        <w:t>Fair</w:t>
      </w:r>
      <w:r w:rsidRPr="009A4E1D">
        <w:t xml:space="preserve"> </w:t>
      </w:r>
    </w:p>
    <w:p w14:paraId="39695FE2" w14:textId="12479C9A" w:rsidR="0021652F" w:rsidRDefault="009A4E1D" w:rsidP="00AD44B7">
      <w:pPr>
        <w:numPr>
          <w:ilvl w:val="0"/>
          <w:numId w:val="32"/>
        </w:numPr>
      </w:pPr>
      <w:r w:rsidRPr="009A4E1D">
        <w:rPr>
          <w:b/>
          <w:bCs/>
        </w:rPr>
        <w:t>3 councils (4%)</w:t>
      </w:r>
      <w:r w:rsidRPr="009A4E1D">
        <w:t xml:space="preserve"> described engagement as </w:t>
      </w:r>
      <w:r w:rsidRPr="009A4E1D">
        <w:rPr>
          <w:b/>
          <w:bCs/>
        </w:rPr>
        <w:t>Poor</w:t>
      </w:r>
      <w:r w:rsidRPr="009A4E1D">
        <w:t xml:space="preserve"> </w:t>
      </w:r>
    </w:p>
    <w:p w14:paraId="43C6E6E2" w14:textId="62831AB1" w:rsidR="00686EC9" w:rsidRPr="00686EC9" w:rsidRDefault="00686EC9" w:rsidP="00AD44B7">
      <w:pPr>
        <w:rPr>
          <w:b/>
          <w:bCs/>
        </w:rPr>
      </w:pPr>
      <w:r w:rsidRPr="00686EC9">
        <w:rPr>
          <w:b/>
          <w:bCs/>
        </w:rPr>
        <w:t>Collaboration with Neighbouring Parish or Town Councils</w:t>
      </w:r>
    </w:p>
    <w:p w14:paraId="1590A61A" w14:textId="77777777" w:rsidR="00686EC9" w:rsidRPr="00686EC9" w:rsidRDefault="00686EC9" w:rsidP="00AD44B7">
      <w:pPr>
        <w:numPr>
          <w:ilvl w:val="0"/>
          <w:numId w:val="33"/>
        </w:numPr>
      </w:pPr>
      <w:r w:rsidRPr="00686EC9">
        <w:rPr>
          <w:b/>
          <w:bCs/>
        </w:rPr>
        <w:t>42 councils (56%)</w:t>
      </w:r>
      <w:r w:rsidRPr="00686EC9">
        <w:t xml:space="preserve"> said they collaborate </w:t>
      </w:r>
      <w:r w:rsidRPr="00686EC9">
        <w:rPr>
          <w:b/>
          <w:bCs/>
        </w:rPr>
        <w:t>informally only</w:t>
      </w:r>
      <w:r w:rsidRPr="00686EC9">
        <w:t xml:space="preserve"> – suggesting occasional or issue-specific cooperation, without structured arrangements.</w:t>
      </w:r>
    </w:p>
    <w:p w14:paraId="6940F202" w14:textId="77777777" w:rsidR="00686EC9" w:rsidRPr="00686EC9" w:rsidRDefault="00686EC9" w:rsidP="00AD44B7">
      <w:pPr>
        <w:numPr>
          <w:ilvl w:val="0"/>
          <w:numId w:val="33"/>
        </w:numPr>
      </w:pPr>
      <w:r w:rsidRPr="00686EC9">
        <w:rPr>
          <w:b/>
          <w:bCs/>
        </w:rPr>
        <w:lastRenderedPageBreak/>
        <w:t>23 councils (31%)</w:t>
      </w:r>
      <w:r w:rsidRPr="00686EC9">
        <w:t xml:space="preserve"> confirmed they </w:t>
      </w:r>
      <w:r w:rsidRPr="00686EC9">
        <w:rPr>
          <w:b/>
          <w:bCs/>
        </w:rPr>
        <w:t>formally collaborate</w:t>
      </w:r>
      <w:r w:rsidRPr="00686EC9">
        <w:t xml:space="preserve"> with neighbouring councils – indicating sustained working relationships or joint initiatives.</w:t>
      </w:r>
    </w:p>
    <w:p w14:paraId="07072B38" w14:textId="77777777" w:rsidR="00AD44B7" w:rsidRPr="00AD44B7" w:rsidRDefault="00686EC9" w:rsidP="00AD44B7">
      <w:pPr>
        <w:numPr>
          <w:ilvl w:val="0"/>
          <w:numId w:val="33"/>
        </w:numPr>
        <w:rPr>
          <w:b/>
          <w:bCs/>
        </w:rPr>
      </w:pPr>
      <w:r w:rsidRPr="00686EC9">
        <w:rPr>
          <w:b/>
          <w:bCs/>
        </w:rPr>
        <w:t>10 councils (13%)</w:t>
      </w:r>
      <w:r w:rsidRPr="00686EC9">
        <w:t xml:space="preserve"> reported </w:t>
      </w:r>
      <w:r w:rsidRPr="00686EC9">
        <w:rPr>
          <w:b/>
          <w:bCs/>
        </w:rPr>
        <w:t>no collaboration</w:t>
      </w:r>
      <w:r w:rsidRPr="00686EC9">
        <w:t xml:space="preserve"> at all – often due to geographical isolation, lack of capacity, or limited interest.</w:t>
      </w:r>
    </w:p>
    <w:p w14:paraId="5D1B4510" w14:textId="77777777" w:rsidR="00AD44B7" w:rsidRPr="00AD44B7" w:rsidRDefault="00AD44B7" w:rsidP="00AD44B7">
      <w:pPr>
        <w:pStyle w:val="NormalWeb"/>
        <w:rPr>
          <w:rFonts w:asciiTheme="minorHAnsi" w:hAnsiTheme="minorHAnsi"/>
          <w:sz w:val="22"/>
          <w:szCs w:val="22"/>
        </w:rPr>
      </w:pPr>
      <w:r w:rsidRPr="00AD44B7">
        <w:rPr>
          <w:rStyle w:val="Strong"/>
          <w:rFonts w:asciiTheme="minorHAnsi" w:eastAsiaTheme="majorEastAsia" w:hAnsiTheme="minorHAnsi"/>
          <w:sz w:val="22"/>
          <w:szCs w:val="22"/>
        </w:rPr>
        <w:t>Forms of Formal Collaboration Identified</w:t>
      </w:r>
    </w:p>
    <w:p w14:paraId="779611B2" w14:textId="56386C01" w:rsidR="00AD44B7" w:rsidRPr="00AD44B7" w:rsidRDefault="00AD44B7" w:rsidP="00AD44B7">
      <w:pPr>
        <w:rPr>
          <w:rFonts w:eastAsiaTheme="majorEastAsia" w:cs="Times New Roman"/>
          <w:b/>
          <w:bCs/>
          <w:kern w:val="0"/>
          <w:lang w:eastAsia="en-GB"/>
          <w14:ligatures w14:val="none"/>
        </w:rPr>
      </w:pPr>
      <w:r w:rsidRPr="00AD44B7">
        <w:rPr>
          <w:rFonts w:eastAsiaTheme="majorEastAsia" w:cs="Times New Roman"/>
          <w:b/>
          <w:bCs/>
          <w:kern w:val="0"/>
          <w:lang w:eastAsia="en-GB"/>
          <w14:ligatures w14:val="none"/>
        </w:rPr>
        <w:t>Named Groups or Forums:</w:t>
      </w:r>
    </w:p>
    <w:p w14:paraId="5331D166" w14:textId="0C7B24A8" w:rsidR="00AD44B7" w:rsidRPr="00AD44B7" w:rsidRDefault="00AD44B7" w:rsidP="00AD44B7">
      <w:pPr>
        <w:numPr>
          <w:ilvl w:val="0"/>
          <w:numId w:val="36"/>
        </w:numPr>
        <w:rPr>
          <w:rFonts w:eastAsiaTheme="majorEastAsia" w:cs="Times New Roman"/>
          <w:kern w:val="0"/>
          <w:lang w:eastAsia="en-GB"/>
          <w14:ligatures w14:val="none"/>
        </w:rPr>
      </w:pPr>
      <w:r w:rsidRPr="00AD44B7">
        <w:rPr>
          <w:rFonts w:eastAsiaTheme="majorEastAsia" w:cs="Times New Roman"/>
          <w:kern w:val="0"/>
          <w:lang w:eastAsia="en-GB"/>
          <w14:ligatures w14:val="none"/>
        </w:rPr>
        <w:t xml:space="preserve">Severn Voice, C5 Councils, Coleford Area Partnership, and the </w:t>
      </w:r>
      <w:r>
        <w:rPr>
          <w:rFonts w:eastAsiaTheme="majorEastAsia" w:cs="Times New Roman"/>
          <w:kern w:val="0"/>
          <w:lang w:eastAsia="en-GB"/>
          <w14:ligatures w14:val="none"/>
        </w:rPr>
        <w:t xml:space="preserve">GAPTC </w:t>
      </w:r>
      <w:r w:rsidRPr="00AD44B7">
        <w:rPr>
          <w:rFonts w:eastAsiaTheme="majorEastAsia" w:cs="Times New Roman"/>
          <w:kern w:val="0"/>
          <w:lang w:eastAsia="en-GB"/>
          <w14:ligatures w14:val="none"/>
        </w:rPr>
        <w:t xml:space="preserve">Cotswold Hub </w:t>
      </w:r>
      <w:r>
        <w:rPr>
          <w:rFonts w:eastAsiaTheme="majorEastAsia" w:cs="Times New Roman"/>
          <w:kern w:val="0"/>
          <w:lang w:eastAsia="en-GB"/>
          <w14:ligatures w14:val="none"/>
        </w:rPr>
        <w:t xml:space="preserve">1 </w:t>
      </w:r>
      <w:r w:rsidRPr="00AD44B7">
        <w:rPr>
          <w:rFonts w:eastAsiaTheme="majorEastAsia" w:cs="Times New Roman"/>
          <w:kern w:val="0"/>
          <w:lang w:eastAsia="en-GB"/>
          <w14:ligatures w14:val="none"/>
        </w:rPr>
        <w:t>are specifically mentioned</w:t>
      </w:r>
      <w:r>
        <w:rPr>
          <w:rFonts w:eastAsiaTheme="majorEastAsia" w:cs="Times New Roman"/>
          <w:kern w:val="0"/>
          <w:lang w:eastAsia="en-GB"/>
          <w14:ligatures w14:val="none"/>
        </w:rPr>
        <w:t>.</w:t>
      </w:r>
    </w:p>
    <w:p w14:paraId="393B1A16" w14:textId="77777777" w:rsidR="00AD44B7" w:rsidRPr="00AD44B7" w:rsidRDefault="00AD44B7" w:rsidP="00AD44B7">
      <w:pPr>
        <w:numPr>
          <w:ilvl w:val="0"/>
          <w:numId w:val="36"/>
        </w:numPr>
        <w:rPr>
          <w:rFonts w:eastAsiaTheme="majorEastAsia" w:cs="Times New Roman"/>
          <w:kern w:val="0"/>
          <w:lang w:eastAsia="en-GB"/>
          <w14:ligatures w14:val="none"/>
        </w:rPr>
      </w:pPr>
      <w:r w:rsidRPr="00AD44B7">
        <w:rPr>
          <w:rFonts w:eastAsiaTheme="majorEastAsia" w:cs="Times New Roman"/>
          <w:kern w:val="0"/>
          <w:lang w:eastAsia="en-GB"/>
          <w14:ligatures w14:val="none"/>
        </w:rPr>
        <w:t>These groups are typically used for sharing strategic priorities, preparing for devolution, and collectively engaging with district or county authorities.</w:t>
      </w:r>
    </w:p>
    <w:p w14:paraId="2B648447" w14:textId="40FBC805" w:rsidR="00AD44B7" w:rsidRPr="00AD44B7" w:rsidRDefault="00AD44B7" w:rsidP="00AD44B7">
      <w:pPr>
        <w:rPr>
          <w:rFonts w:eastAsiaTheme="majorEastAsia" w:cs="Times New Roman"/>
          <w:b/>
          <w:bCs/>
          <w:kern w:val="0"/>
          <w:lang w:eastAsia="en-GB"/>
          <w14:ligatures w14:val="none"/>
        </w:rPr>
      </w:pPr>
      <w:r w:rsidRPr="00AD44B7">
        <w:rPr>
          <w:rFonts w:eastAsiaTheme="majorEastAsia" w:cs="Times New Roman"/>
          <w:b/>
          <w:bCs/>
          <w:kern w:val="0"/>
          <w:lang w:eastAsia="en-GB"/>
          <w14:ligatures w14:val="none"/>
        </w:rPr>
        <w:t>Regular Meetings Between Councillors and Clerks:</w:t>
      </w:r>
    </w:p>
    <w:p w14:paraId="4A3359CE" w14:textId="66F13EEF" w:rsidR="00AD44B7" w:rsidRPr="00AD44B7" w:rsidRDefault="00AD44B7" w:rsidP="00AD44B7">
      <w:pPr>
        <w:numPr>
          <w:ilvl w:val="0"/>
          <w:numId w:val="37"/>
        </w:numPr>
        <w:rPr>
          <w:rFonts w:eastAsiaTheme="majorEastAsia" w:cs="Times New Roman"/>
          <w:kern w:val="0"/>
          <w:lang w:eastAsia="en-GB"/>
          <w14:ligatures w14:val="none"/>
        </w:rPr>
      </w:pPr>
      <w:r w:rsidRPr="00AD44B7">
        <w:rPr>
          <w:rFonts w:eastAsiaTheme="majorEastAsia" w:cs="Times New Roman"/>
          <w:kern w:val="0"/>
          <w:lang w:eastAsia="en-GB"/>
          <w14:ligatures w14:val="none"/>
        </w:rPr>
        <w:t>Several councils refer to “regular meetings of councillors,” “frequent contact between clerks,” or “occasional joint council meetings” — highlighting operational alignment.</w:t>
      </w:r>
    </w:p>
    <w:p w14:paraId="0983D5D8" w14:textId="3D9884A6" w:rsidR="00AD44B7" w:rsidRDefault="00AD44B7" w:rsidP="00AD44B7">
      <w:pPr>
        <w:rPr>
          <w:rFonts w:eastAsiaTheme="majorEastAsia" w:cs="Times New Roman"/>
          <w:b/>
          <w:bCs/>
          <w:kern w:val="0"/>
          <w:lang w:eastAsia="en-GB"/>
          <w14:ligatures w14:val="none"/>
        </w:rPr>
      </w:pPr>
      <w:r w:rsidRPr="00AD44B7">
        <w:rPr>
          <w:rFonts w:eastAsiaTheme="majorEastAsia" w:cs="Times New Roman"/>
          <w:b/>
          <w:bCs/>
          <w:kern w:val="0"/>
          <w:lang w:eastAsia="en-GB"/>
          <w14:ligatures w14:val="none"/>
        </w:rPr>
        <w:t>Topic- or Issue-Specific Collaboration:</w:t>
      </w:r>
    </w:p>
    <w:p w14:paraId="371D610D" w14:textId="77777777" w:rsidR="0018321A" w:rsidRPr="0018321A" w:rsidRDefault="0018321A" w:rsidP="0018321A">
      <w:pPr>
        <w:spacing w:before="100" w:beforeAutospacing="1" w:after="100" w:afterAutospacing="1" w:line="240" w:lineRule="auto"/>
        <w:rPr>
          <w:rFonts w:eastAsia="Times New Roman" w:cs="Times New Roman"/>
          <w:kern w:val="0"/>
          <w:lang w:eastAsia="en-GB"/>
          <w14:ligatures w14:val="none"/>
        </w:rPr>
      </w:pPr>
      <w:r w:rsidRPr="0018321A">
        <w:rPr>
          <w:rFonts w:eastAsia="Times New Roman" w:cs="Times New Roman"/>
          <w:b/>
          <w:bCs/>
          <w:kern w:val="0"/>
          <w:lang w:eastAsia="en-GB"/>
          <w14:ligatures w14:val="none"/>
        </w:rPr>
        <w:t>Planning and Development</w:t>
      </w:r>
      <w:r w:rsidRPr="0018321A">
        <w:rPr>
          <w:rFonts w:eastAsia="Times New Roman" w:cs="Times New Roman"/>
          <w:kern w:val="0"/>
          <w:lang w:eastAsia="en-GB"/>
          <w14:ligatures w14:val="none"/>
        </w:rPr>
        <w:br/>
        <w:t>The most frequently cited area of collaboration, appearing in over 30 responses. Councils referenced Local Plan consultations, housing development objections, major applications, and the use of Neighbourhood Development Plans (NDPs) as a framework for both strategic collaboration and public engagement.</w:t>
      </w:r>
    </w:p>
    <w:p w14:paraId="7D20FB9F" w14:textId="77777777" w:rsidR="0018321A" w:rsidRPr="0018321A" w:rsidRDefault="0018321A" w:rsidP="0018321A">
      <w:pPr>
        <w:spacing w:before="100" w:beforeAutospacing="1" w:after="100" w:afterAutospacing="1" w:line="240" w:lineRule="auto"/>
        <w:rPr>
          <w:rFonts w:eastAsia="Times New Roman" w:cs="Times New Roman"/>
          <w:kern w:val="0"/>
          <w:lang w:eastAsia="en-GB"/>
          <w14:ligatures w14:val="none"/>
        </w:rPr>
      </w:pPr>
      <w:r w:rsidRPr="0018321A">
        <w:rPr>
          <w:rFonts w:eastAsia="Times New Roman" w:cs="Times New Roman"/>
          <w:b/>
          <w:bCs/>
          <w:kern w:val="0"/>
          <w:lang w:eastAsia="en-GB"/>
          <w14:ligatures w14:val="none"/>
        </w:rPr>
        <w:t>Traffic, Speeding, and Road Safety</w:t>
      </w:r>
      <w:r w:rsidRPr="0018321A">
        <w:rPr>
          <w:rFonts w:eastAsia="Times New Roman" w:cs="Times New Roman"/>
          <w:kern w:val="0"/>
          <w:lang w:eastAsia="en-GB"/>
          <w14:ligatures w14:val="none"/>
        </w:rPr>
        <w:br/>
        <w:t>At least 25 councils mentioned speeding, MVAS signage, speed control, or broader traffic safety concerns. Collaboration efforts included community Speed Watch groups, joint pressure on Highways authorities, and neighbourhood traffic calming measures.</w:t>
      </w:r>
    </w:p>
    <w:p w14:paraId="75620309" w14:textId="77777777" w:rsidR="0018321A" w:rsidRPr="0018321A" w:rsidRDefault="0018321A" w:rsidP="0018321A">
      <w:pPr>
        <w:spacing w:before="100" w:beforeAutospacing="1" w:after="100" w:afterAutospacing="1" w:line="240" w:lineRule="auto"/>
        <w:rPr>
          <w:rFonts w:eastAsia="Times New Roman" w:cs="Times New Roman"/>
          <w:kern w:val="0"/>
          <w:lang w:eastAsia="en-GB"/>
          <w14:ligatures w14:val="none"/>
        </w:rPr>
      </w:pPr>
      <w:r w:rsidRPr="0018321A">
        <w:rPr>
          <w:rFonts w:eastAsia="Times New Roman" w:cs="Times New Roman"/>
          <w:b/>
          <w:bCs/>
          <w:kern w:val="0"/>
          <w:lang w:eastAsia="en-GB"/>
          <w14:ligatures w14:val="none"/>
        </w:rPr>
        <w:t>Flooding, Drainage, and Water Management</w:t>
      </w:r>
      <w:r w:rsidRPr="0018321A">
        <w:rPr>
          <w:rFonts w:eastAsia="Times New Roman" w:cs="Times New Roman"/>
          <w:kern w:val="0"/>
          <w:lang w:eastAsia="en-GB"/>
          <w14:ligatures w14:val="none"/>
        </w:rPr>
        <w:br/>
        <w:t>Over 10 responses referenced surface water drainage, flooding consultation, or partnerships with water utilities (e.g. Thames Water Joint Working Group). Natural flood management and related infrastructure concerns feature prominently in areas with past events or high risk.</w:t>
      </w:r>
    </w:p>
    <w:p w14:paraId="4C1B6F46" w14:textId="77777777" w:rsidR="0018321A" w:rsidRPr="0018321A" w:rsidRDefault="0018321A" w:rsidP="0018321A">
      <w:pPr>
        <w:spacing w:before="100" w:beforeAutospacing="1" w:after="100" w:afterAutospacing="1" w:line="240" w:lineRule="auto"/>
        <w:rPr>
          <w:rFonts w:eastAsia="Times New Roman" w:cs="Times New Roman"/>
          <w:kern w:val="0"/>
          <w:lang w:eastAsia="en-GB"/>
          <w14:ligatures w14:val="none"/>
        </w:rPr>
      </w:pPr>
      <w:r w:rsidRPr="0018321A">
        <w:rPr>
          <w:rFonts w:eastAsia="Times New Roman" w:cs="Times New Roman"/>
          <w:b/>
          <w:bCs/>
          <w:kern w:val="0"/>
          <w:lang w:eastAsia="en-GB"/>
          <w14:ligatures w14:val="none"/>
        </w:rPr>
        <w:t>Youth Engagement and Provision</w:t>
      </w:r>
      <w:r w:rsidRPr="0018321A">
        <w:rPr>
          <w:rFonts w:eastAsia="Times New Roman" w:cs="Times New Roman"/>
          <w:kern w:val="0"/>
          <w:lang w:eastAsia="en-GB"/>
          <w14:ligatures w14:val="none"/>
        </w:rPr>
        <w:br/>
        <w:t>More than 8 councils cited projects around youth infrastructure, consultation on services, support for youth clubs, and skate parks. Some councils framed these as part of broader community development efforts or funding partnerships.</w:t>
      </w:r>
    </w:p>
    <w:p w14:paraId="5388A5C6" w14:textId="77777777" w:rsidR="0018321A" w:rsidRPr="0018321A" w:rsidRDefault="0018321A" w:rsidP="0018321A">
      <w:pPr>
        <w:spacing w:before="100" w:beforeAutospacing="1" w:after="100" w:afterAutospacing="1" w:line="240" w:lineRule="auto"/>
        <w:rPr>
          <w:rFonts w:eastAsia="Times New Roman" w:cs="Times New Roman"/>
          <w:kern w:val="0"/>
          <w:lang w:eastAsia="en-GB"/>
          <w14:ligatures w14:val="none"/>
        </w:rPr>
      </w:pPr>
      <w:r w:rsidRPr="0018321A">
        <w:rPr>
          <w:rFonts w:eastAsia="Times New Roman" w:cs="Times New Roman"/>
          <w:b/>
          <w:bCs/>
          <w:kern w:val="0"/>
          <w:lang w:eastAsia="en-GB"/>
          <w14:ligatures w14:val="none"/>
        </w:rPr>
        <w:t>Environmental and Biodiversity Projects</w:t>
      </w:r>
      <w:r w:rsidRPr="0018321A">
        <w:rPr>
          <w:rFonts w:eastAsia="Times New Roman" w:cs="Times New Roman"/>
          <w:kern w:val="0"/>
          <w:lang w:eastAsia="en-GB"/>
          <w14:ligatures w14:val="none"/>
        </w:rPr>
        <w:br/>
        <w:t>Councils referenced green space protection, biodiversity initiatives, tree planting, and climate-focused activity (e.g. Climate Change Guides). Several entries indicated working jointly on bio-corridors, conservation areas, or local nature partnerships.</w:t>
      </w:r>
    </w:p>
    <w:p w14:paraId="3C4C7280" w14:textId="77777777" w:rsidR="0018321A" w:rsidRPr="0018321A" w:rsidRDefault="0018321A" w:rsidP="0018321A">
      <w:pPr>
        <w:spacing w:before="100" w:beforeAutospacing="1" w:after="100" w:afterAutospacing="1" w:line="240" w:lineRule="auto"/>
        <w:rPr>
          <w:rFonts w:eastAsia="Times New Roman" w:cs="Times New Roman"/>
          <w:kern w:val="0"/>
          <w:lang w:eastAsia="en-GB"/>
          <w14:ligatures w14:val="none"/>
        </w:rPr>
      </w:pPr>
      <w:r w:rsidRPr="0018321A">
        <w:rPr>
          <w:rFonts w:eastAsia="Times New Roman" w:cs="Times New Roman"/>
          <w:b/>
          <w:bCs/>
          <w:kern w:val="0"/>
          <w:lang w:eastAsia="en-GB"/>
          <w14:ligatures w14:val="none"/>
        </w:rPr>
        <w:t>Highways, Transport, and Connectivity</w:t>
      </w:r>
      <w:r w:rsidRPr="0018321A">
        <w:rPr>
          <w:rFonts w:eastAsia="Times New Roman" w:cs="Times New Roman"/>
          <w:kern w:val="0"/>
          <w:lang w:eastAsia="en-GB"/>
          <w14:ligatures w14:val="none"/>
        </w:rPr>
        <w:br/>
        <w:t>Joint working on highways issues was reported by at least a dozen councils, particularly relating to the A38, school footpath improvements, signage, or poor public transport. Other themes include emergency planning, parking, and mobility infrastructure.</w:t>
      </w:r>
    </w:p>
    <w:p w14:paraId="5BD15C9C" w14:textId="77777777" w:rsidR="0018321A" w:rsidRPr="0018321A" w:rsidRDefault="0018321A" w:rsidP="0018321A">
      <w:pPr>
        <w:spacing w:before="100" w:beforeAutospacing="1" w:after="100" w:afterAutospacing="1" w:line="240" w:lineRule="auto"/>
        <w:rPr>
          <w:rFonts w:eastAsia="Times New Roman" w:cs="Times New Roman"/>
          <w:kern w:val="0"/>
          <w:lang w:eastAsia="en-GB"/>
          <w14:ligatures w14:val="none"/>
        </w:rPr>
      </w:pPr>
      <w:r w:rsidRPr="0018321A">
        <w:rPr>
          <w:rFonts w:eastAsia="Times New Roman" w:cs="Times New Roman"/>
          <w:b/>
          <w:bCs/>
          <w:kern w:val="0"/>
          <w:lang w:eastAsia="en-GB"/>
          <w14:ligatures w14:val="none"/>
        </w:rPr>
        <w:lastRenderedPageBreak/>
        <w:t>Community Assets and Infrastructure</w:t>
      </w:r>
      <w:r w:rsidRPr="0018321A">
        <w:rPr>
          <w:rFonts w:eastAsia="Times New Roman" w:cs="Times New Roman"/>
          <w:kern w:val="0"/>
          <w:lang w:eastAsia="en-GB"/>
          <w14:ligatures w14:val="none"/>
        </w:rPr>
        <w:br/>
        <w:t>Collaboration has supported the development or management of play parks, Multi-Use Games Areas (MUGAs), cemeteries, community rooms, and telephone boxes repurposed as book shares. Councils shared examples of jointly planning or aligning projects to avoid duplication of provision.</w:t>
      </w:r>
    </w:p>
    <w:p w14:paraId="09DAAAC9" w14:textId="77777777" w:rsidR="0018321A" w:rsidRPr="0018321A" w:rsidRDefault="0018321A" w:rsidP="0018321A">
      <w:pPr>
        <w:spacing w:before="100" w:beforeAutospacing="1" w:after="100" w:afterAutospacing="1" w:line="240" w:lineRule="auto"/>
        <w:rPr>
          <w:rFonts w:eastAsia="Times New Roman" w:cs="Times New Roman"/>
          <w:kern w:val="0"/>
          <w:lang w:eastAsia="en-GB"/>
          <w14:ligatures w14:val="none"/>
        </w:rPr>
      </w:pPr>
      <w:r w:rsidRPr="0018321A">
        <w:rPr>
          <w:rFonts w:eastAsia="Times New Roman" w:cs="Times New Roman"/>
          <w:b/>
          <w:bCs/>
          <w:kern w:val="0"/>
          <w:lang w:eastAsia="en-GB"/>
          <w14:ligatures w14:val="none"/>
        </w:rPr>
        <w:t>Social and Health Projects</w:t>
      </w:r>
      <w:r w:rsidRPr="0018321A">
        <w:rPr>
          <w:rFonts w:eastAsia="Times New Roman" w:cs="Times New Roman"/>
          <w:kern w:val="0"/>
          <w:lang w:eastAsia="en-GB"/>
          <w14:ligatures w14:val="none"/>
        </w:rPr>
        <w:br/>
        <w:t>A smaller but notable number of councils referenced local food banks, dementia-friendly initiatives, support for older residents, and social housing consultation. These projects often involved external partners but were cited as community-driven.</w:t>
      </w:r>
    </w:p>
    <w:p w14:paraId="24D699E4" w14:textId="77777777" w:rsidR="0018321A" w:rsidRPr="0018321A" w:rsidRDefault="0018321A" w:rsidP="0018321A">
      <w:pPr>
        <w:spacing w:before="100" w:beforeAutospacing="1" w:after="100" w:afterAutospacing="1" w:line="240" w:lineRule="auto"/>
        <w:rPr>
          <w:rFonts w:eastAsia="Times New Roman" w:cs="Times New Roman"/>
          <w:kern w:val="0"/>
          <w:lang w:eastAsia="en-GB"/>
          <w14:ligatures w14:val="none"/>
        </w:rPr>
      </w:pPr>
      <w:r w:rsidRPr="0018321A">
        <w:rPr>
          <w:rFonts w:eastAsia="Times New Roman" w:cs="Times New Roman"/>
          <w:b/>
          <w:bCs/>
          <w:kern w:val="0"/>
          <w:lang w:eastAsia="en-GB"/>
          <w14:ligatures w14:val="none"/>
        </w:rPr>
        <w:t>Civic and Cultural Life</w:t>
      </w:r>
      <w:r w:rsidRPr="0018321A">
        <w:rPr>
          <w:rFonts w:eastAsia="Times New Roman" w:cs="Times New Roman"/>
          <w:kern w:val="0"/>
          <w:lang w:eastAsia="en-GB"/>
          <w14:ligatures w14:val="none"/>
        </w:rPr>
        <w:br/>
        <w:t>Councils cited working with others on Summer Fairs, music festivals, litter-picking days, and tourism-related events. These activities were less formal but still framed as important expressions of collaboration and shared community pride.</w:t>
      </w:r>
    </w:p>
    <w:p w14:paraId="57DA947F" w14:textId="77777777" w:rsidR="0018321A" w:rsidRPr="0018321A" w:rsidRDefault="0018321A" w:rsidP="0018321A">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8321A">
        <w:rPr>
          <w:rFonts w:eastAsia="Times New Roman" w:cs="Times New Roman"/>
          <w:b/>
          <w:bCs/>
          <w:kern w:val="0"/>
          <w:lang w:eastAsia="en-GB"/>
          <w14:ligatures w14:val="none"/>
        </w:rPr>
        <w:t>Neighbourhood Governance</w:t>
      </w:r>
      <w:r w:rsidRPr="0018321A">
        <w:rPr>
          <w:rFonts w:eastAsia="Times New Roman" w:cs="Times New Roman"/>
          <w:kern w:val="0"/>
          <w:lang w:eastAsia="en-GB"/>
          <w14:ligatures w14:val="none"/>
        </w:rPr>
        <w:br/>
        <w:t>NDPs, shared clerk networks, emergency groups (like Fairford Emergency Action Group), and parish forums are referenced as governance-lite vehicles that support joint decision-making, even where formal legal partnerships do not exist.</w:t>
      </w:r>
    </w:p>
    <w:p w14:paraId="06E73A7A" w14:textId="3911C522" w:rsidR="00686EC9" w:rsidRPr="00686EC9" w:rsidRDefault="00686EC9" w:rsidP="00AD44B7">
      <w:pPr>
        <w:rPr>
          <w:b/>
          <w:bCs/>
        </w:rPr>
      </w:pPr>
      <w:r w:rsidRPr="00686EC9">
        <w:rPr>
          <w:b/>
          <w:bCs/>
        </w:rPr>
        <w:t>Who Else Do Councils Collaborate With?</w:t>
      </w:r>
    </w:p>
    <w:p w14:paraId="77E48792" w14:textId="77777777" w:rsidR="00686EC9" w:rsidRPr="00686EC9" w:rsidRDefault="00686EC9" w:rsidP="00686EC9">
      <w:r w:rsidRPr="00686EC9">
        <w:t>The most frequently cited types of collaboration partners (in order of prominence) are:</w:t>
      </w:r>
    </w:p>
    <w:p w14:paraId="1531D444" w14:textId="77777777" w:rsidR="00686EC9" w:rsidRPr="00686EC9" w:rsidRDefault="00686EC9" w:rsidP="00686EC9">
      <w:pPr>
        <w:numPr>
          <w:ilvl w:val="0"/>
          <w:numId w:val="34"/>
        </w:numPr>
      </w:pPr>
      <w:r w:rsidRPr="00686EC9">
        <w:rPr>
          <w:b/>
          <w:bCs/>
        </w:rPr>
        <w:t>Local voluntary and community sector organisations</w:t>
      </w:r>
      <w:r w:rsidRPr="00686EC9">
        <w:t xml:space="preserve"> – referenced in at least </w:t>
      </w:r>
      <w:r w:rsidRPr="00686EC9">
        <w:rPr>
          <w:b/>
          <w:bCs/>
        </w:rPr>
        <w:t>36 responses</w:t>
      </w:r>
      <w:r w:rsidRPr="00686EC9">
        <w:t>, often working on community wellbeing, local events, or outreach.</w:t>
      </w:r>
    </w:p>
    <w:p w14:paraId="33A901A8" w14:textId="77777777" w:rsidR="00686EC9" w:rsidRPr="00686EC9" w:rsidRDefault="00686EC9" w:rsidP="00686EC9">
      <w:pPr>
        <w:numPr>
          <w:ilvl w:val="0"/>
          <w:numId w:val="34"/>
        </w:numPr>
      </w:pPr>
      <w:r w:rsidRPr="00686EC9">
        <w:rPr>
          <w:b/>
          <w:bCs/>
        </w:rPr>
        <w:t>Civil society organisations</w:t>
      </w:r>
      <w:r w:rsidRPr="00686EC9">
        <w:t xml:space="preserve"> (e.g. churches, community trusts) – mentioned in at least </w:t>
      </w:r>
      <w:r w:rsidRPr="00686EC9">
        <w:rPr>
          <w:b/>
          <w:bCs/>
        </w:rPr>
        <w:t>33 responses</w:t>
      </w:r>
      <w:r w:rsidRPr="00686EC9">
        <w:t>, frequently partnering on neighbourhood support or facilities.</w:t>
      </w:r>
    </w:p>
    <w:p w14:paraId="75B15269" w14:textId="77777777" w:rsidR="00686EC9" w:rsidRPr="00686EC9" w:rsidRDefault="00686EC9" w:rsidP="00686EC9">
      <w:pPr>
        <w:numPr>
          <w:ilvl w:val="0"/>
          <w:numId w:val="34"/>
        </w:numPr>
      </w:pPr>
      <w:r w:rsidRPr="00686EC9">
        <w:rPr>
          <w:b/>
          <w:bCs/>
        </w:rPr>
        <w:t>Local primary or secondary schools</w:t>
      </w:r>
      <w:r w:rsidRPr="00686EC9">
        <w:t xml:space="preserve"> – cited in at least </w:t>
      </w:r>
      <w:r w:rsidRPr="00686EC9">
        <w:rPr>
          <w:b/>
          <w:bCs/>
        </w:rPr>
        <w:t>28 responses</w:t>
      </w:r>
      <w:r w:rsidRPr="00686EC9">
        <w:t>, often for youth engagement, climate projects, or facility sharing.</w:t>
      </w:r>
    </w:p>
    <w:p w14:paraId="2EB371D1" w14:textId="77777777" w:rsidR="00686EC9" w:rsidRPr="00686EC9" w:rsidRDefault="00686EC9" w:rsidP="00686EC9">
      <w:pPr>
        <w:numPr>
          <w:ilvl w:val="0"/>
          <w:numId w:val="34"/>
        </w:numPr>
      </w:pPr>
      <w:r w:rsidRPr="00686EC9">
        <w:rPr>
          <w:b/>
          <w:bCs/>
        </w:rPr>
        <w:t>Police or neighbourhood watch groups</w:t>
      </w:r>
      <w:r w:rsidRPr="00686EC9">
        <w:t xml:space="preserve"> – identified in </w:t>
      </w:r>
      <w:r w:rsidRPr="00686EC9">
        <w:rPr>
          <w:b/>
          <w:bCs/>
        </w:rPr>
        <w:t>24 responses</w:t>
      </w:r>
      <w:r w:rsidRPr="00686EC9">
        <w:t>, largely in connection with community safety or anti-social behaviour.</w:t>
      </w:r>
    </w:p>
    <w:p w14:paraId="35223984" w14:textId="77777777" w:rsidR="00686EC9" w:rsidRPr="00686EC9" w:rsidRDefault="00686EC9" w:rsidP="00686EC9">
      <w:pPr>
        <w:numPr>
          <w:ilvl w:val="0"/>
          <w:numId w:val="34"/>
        </w:numPr>
      </w:pPr>
      <w:r w:rsidRPr="00686EC9">
        <w:rPr>
          <w:b/>
          <w:bCs/>
        </w:rPr>
        <w:t>Youth groups or services</w:t>
      </w:r>
      <w:r w:rsidRPr="00686EC9">
        <w:t xml:space="preserve"> – included in at least </w:t>
      </w:r>
      <w:r w:rsidRPr="00686EC9">
        <w:rPr>
          <w:b/>
          <w:bCs/>
        </w:rPr>
        <w:t>22 responses</w:t>
      </w:r>
      <w:r w:rsidRPr="00686EC9">
        <w:t>, typically around engagement, social mobility, or outreach.</w:t>
      </w:r>
    </w:p>
    <w:p w14:paraId="7D054794" w14:textId="77777777" w:rsidR="00686EC9" w:rsidRPr="00686EC9" w:rsidRDefault="00686EC9" w:rsidP="00686EC9">
      <w:pPr>
        <w:numPr>
          <w:ilvl w:val="0"/>
          <w:numId w:val="34"/>
        </w:numPr>
      </w:pPr>
      <w:r w:rsidRPr="00686EC9">
        <w:rPr>
          <w:b/>
          <w:bCs/>
        </w:rPr>
        <w:t>Health and wellbeing groups or services</w:t>
      </w:r>
      <w:r w:rsidRPr="00686EC9">
        <w:t xml:space="preserve"> – reported by </w:t>
      </w:r>
      <w:r w:rsidRPr="00686EC9">
        <w:rPr>
          <w:b/>
          <w:bCs/>
        </w:rPr>
        <w:t>19 councils</w:t>
      </w:r>
      <w:r w:rsidRPr="00686EC9">
        <w:t>, especially for memory cafés, mental health initiatives, or older adult support.</w:t>
      </w:r>
    </w:p>
    <w:p w14:paraId="4E97F5AC" w14:textId="0262F1EC" w:rsidR="00686EC9" w:rsidRDefault="00686EC9" w:rsidP="00686EC9">
      <w:r w:rsidRPr="00686EC9">
        <w:t>These numbers reflect combinations of multiple partners</w:t>
      </w:r>
      <w:r w:rsidRPr="00686EC9">
        <w:rPr>
          <w:b/>
          <w:bCs/>
        </w:rPr>
        <w:t xml:space="preserve"> </w:t>
      </w:r>
      <w:r w:rsidRPr="00686EC9">
        <w:t xml:space="preserve">per council, rather than exclusive selections, </w:t>
      </w:r>
      <w:r w:rsidR="00E5607C" w:rsidRPr="00E5607C">
        <w:rPr>
          <w:b/>
          <w:bCs/>
        </w:rPr>
        <w:t>49 councils</w:t>
      </w:r>
      <w:r w:rsidR="00E5607C">
        <w:t xml:space="preserve"> explicitly cited </w:t>
      </w:r>
      <w:r w:rsidR="00E5607C" w:rsidRPr="00E5607C">
        <w:rPr>
          <w:b/>
          <w:bCs/>
        </w:rPr>
        <w:t>working with three or more external partners</w:t>
      </w:r>
      <w:r w:rsidR="00E5607C">
        <w:t>.</w:t>
      </w:r>
    </w:p>
    <w:p w14:paraId="07790CA5" w14:textId="6F3EBDA3" w:rsidR="00D75CCD" w:rsidRPr="00D75CCD" w:rsidRDefault="00D75CCD" w:rsidP="00D75CCD">
      <w:r>
        <w:t xml:space="preserve">When asked </w:t>
      </w:r>
      <w:r w:rsidRPr="00D75CCD">
        <w:rPr>
          <w:b/>
          <w:bCs/>
        </w:rPr>
        <w:t>Would your Council be open to collaborating with neighbouring councils to manage new responsibilities?</w:t>
      </w:r>
    </w:p>
    <w:p w14:paraId="49E6BEB4" w14:textId="77777777" w:rsidR="00D75CCD" w:rsidRPr="00D75CCD" w:rsidRDefault="00D75CCD" w:rsidP="00D75CCD">
      <w:pPr>
        <w:numPr>
          <w:ilvl w:val="0"/>
          <w:numId w:val="57"/>
        </w:numPr>
      </w:pPr>
      <w:r w:rsidRPr="00D75CCD">
        <w:rPr>
          <w:b/>
          <w:bCs/>
        </w:rPr>
        <w:t>Yes</w:t>
      </w:r>
      <w:r w:rsidRPr="00D75CCD">
        <w:t xml:space="preserve"> – 57 councils</w:t>
      </w:r>
    </w:p>
    <w:p w14:paraId="342ED20A" w14:textId="77777777" w:rsidR="00D75CCD" w:rsidRPr="00D75CCD" w:rsidRDefault="00D75CCD" w:rsidP="00D75CCD">
      <w:pPr>
        <w:numPr>
          <w:ilvl w:val="0"/>
          <w:numId w:val="57"/>
        </w:numPr>
      </w:pPr>
      <w:r w:rsidRPr="00D75CCD">
        <w:rPr>
          <w:b/>
          <w:bCs/>
        </w:rPr>
        <w:t>Unsure</w:t>
      </w:r>
      <w:r w:rsidRPr="00D75CCD">
        <w:t xml:space="preserve"> – 14 councils</w:t>
      </w:r>
    </w:p>
    <w:p w14:paraId="033C8A86" w14:textId="77777777" w:rsidR="00D75CCD" w:rsidRPr="00D75CCD" w:rsidRDefault="00D75CCD" w:rsidP="00D75CCD">
      <w:pPr>
        <w:numPr>
          <w:ilvl w:val="0"/>
          <w:numId w:val="57"/>
        </w:numPr>
      </w:pPr>
      <w:r w:rsidRPr="00D75CCD">
        <w:rPr>
          <w:b/>
          <w:bCs/>
        </w:rPr>
        <w:t>No</w:t>
      </w:r>
      <w:r w:rsidRPr="00D75CCD">
        <w:t xml:space="preserve"> – 4 councils</w:t>
      </w:r>
    </w:p>
    <w:p w14:paraId="449AF5B2" w14:textId="552149EB" w:rsidR="00D75CCD" w:rsidRDefault="00D75CCD" w:rsidP="00D75CCD">
      <w:r w:rsidRPr="00D75CCD">
        <w:lastRenderedPageBreak/>
        <w:t>This indicates strong openness to collaboration. The number of unsure responses also suggests there is scope to shape and support inter-council partnerships through further dialogue and clear models.</w:t>
      </w:r>
    </w:p>
    <w:p w14:paraId="4D432B2A" w14:textId="791D9B01" w:rsidR="00D75CCD" w:rsidRPr="00D75CCD" w:rsidRDefault="00D75CCD" w:rsidP="00D75CCD">
      <w:r w:rsidRPr="00D75CCD">
        <w:t xml:space="preserve">Many councils that responded “yes” to the possibility of collaborating with neighbouring councils cited shared resources, cost efficiencies, and improved outcomes as compelling reasons to work together. Several comments emphasised the opportunity to reduce duplication and enhance service quality through joint contracting or shared facilities — especially for services like </w:t>
      </w:r>
      <w:r w:rsidRPr="00D75CCD">
        <w:rPr>
          <w:b/>
          <w:bCs/>
        </w:rPr>
        <w:t>grass cutting, open space management, community buildings, event planning, street cleansing</w:t>
      </w:r>
      <w:r w:rsidRPr="00D75CCD">
        <w:t xml:space="preserve"> and </w:t>
      </w:r>
      <w:r w:rsidRPr="00D75CCD">
        <w:rPr>
          <w:b/>
          <w:bCs/>
        </w:rPr>
        <w:t>transport infrastructure</w:t>
      </w:r>
      <w:r w:rsidRPr="00D75CCD">
        <w:t>.</w:t>
      </w:r>
    </w:p>
    <w:p w14:paraId="24DBC526" w14:textId="15365141" w:rsidR="00D75CCD" w:rsidRPr="00D75CCD" w:rsidRDefault="00D75CCD" w:rsidP="00D75CCD">
      <w:r w:rsidRPr="00D75CCD">
        <w:t xml:space="preserve">Some noted that collaboration could provide a </w:t>
      </w:r>
      <w:r w:rsidRPr="00D75CCD">
        <w:rPr>
          <w:b/>
          <w:bCs/>
        </w:rPr>
        <w:t>more viable tax base</w:t>
      </w:r>
      <w:r w:rsidRPr="00D75CCD">
        <w:t xml:space="preserve"> and support a </w:t>
      </w:r>
      <w:r w:rsidRPr="00D75CCD">
        <w:rPr>
          <w:b/>
          <w:bCs/>
        </w:rPr>
        <w:t>more integrated approach</w:t>
      </w:r>
      <w:r w:rsidRPr="00D75CCD">
        <w:t xml:space="preserve"> to addressing cross-boundary issues such as </w:t>
      </w:r>
      <w:r w:rsidRPr="00D75CCD">
        <w:rPr>
          <w:b/>
          <w:bCs/>
        </w:rPr>
        <w:t>anti-social behaviour</w:t>
      </w:r>
      <w:r w:rsidRPr="00D75CCD">
        <w:t xml:space="preserve">, </w:t>
      </w:r>
      <w:r w:rsidRPr="00D75CCD">
        <w:rPr>
          <w:b/>
          <w:bCs/>
        </w:rPr>
        <w:t>nature connectivity</w:t>
      </w:r>
      <w:r w:rsidRPr="00D75CCD">
        <w:t xml:space="preserve"> and </w:t>
      </w:r>
      <w:r w:rsidRPr="00D75CCD">
        <w:rPr>
          <w:b/>
          <w:bCs/>
        </w:rPr>
        <w:t>active travel</w:t>
      </w:r>
      <w:r w:rsidRPr="00D75CCD">
        <w:t xml:space="preserve">. A few councils referenced the potential of </w:t>
      </w:r>
      <w:r w:rsidRPr="00D75CCD">
        <w:rPr>
          <w:b/>
          <w:bCs/>
        </w:rPr>
        <w:t>amalgamating smaller councils</w:t>
      </w:r>
      <w:r w:rsidRPr="00D75CCD">
        <w:t xml:space="preserve"> or collaborating “where the economics of scale would benefit all</w:t>
      </w:r>
      <w:r w:rsidR="000D1E3E">
        <w:t>”</w:t>
      </w:r>
      <w:r w:rsidRPr="00D75CCD">
        <w:t>.</w:t>
      </w:r>
    </w:p>
    <w:p w14:paraId="55A9AABE" w14:textId="5FD7E61B" w:rsidR="00D75CCD" w:rsidRDefault="00D75CCD" w:rsidP="00D75CCD">
      <w:r w:rsidRPr="00D75CCD">
        <w:t xml:space="preserve">Councils that were unsure often based their hesitation on a </w:t>
      </w:r>
      <w:r w:rsidRPr="00D75CCD">
        <w:rPr>
          <w:b/>
          <w:bCs/>
        </w:rPr>
        <w:t>lack of clarity</w:t>
      </w:r>
      <w:r w:rsidRPr="00D75CCD">
        <w:t xml:space="preserve"> about the proposed responsibilities or structures. However, even these responses sometimes included willingness to explore collaboration </w:t>
      </w:r>
      <w:r w:rsidRPr="00D75CCD">
        <w:rPr>
          <w:b/>
          <w:bCs/>
        </w:rPr>
        <w:t>“as required”</w:t>
      </w:r>
      <w:r w:rsidRPr="00D75CCD">
        <w:t xml:space="preserve"> or in areas like </w:t>
      </w:r>
      <w:r w:rsidRPr="00D75CCD">
        <w:rPr>
          <w:b/>
          <w:bCs/>
        </w:rPr>
        <w:t xml:space="preserve">leisure services, planning, highways </w:t>
      </w:r>
      <w:r w:rsidRPr="000D1E3E">
        <w:t>or</w:t>
      </w:r>
      <w:r w:rsidRPr="00D75CCD">
        <w:rPr>
          <w:b/>
          <w:bCs/>
        </w:rPr>
        <w:t xml:space="preserve"> waste management</w:t>
      </w:r>
      <w:r w:rsidRPr="00D75CCD">
        <w:t xml:space="preserve"> if the model was clearly defined and appropriately funded.</w:t>
      </w:r>
    </w:p>
    <w:p w14:paraId="70F59E1B" w14:textId="19BF65BA" w:rsidR="00F04F0F" w:rsidRDefault="00F04F0F" w:rsidP="00D75CCD">
      <w:r>
        <w:rPr>
          <w:b/>
          <w:bCs/>
          <w:noProof/>
          <w:sz w:val="28"/>
          <w:szCs w:val="28"/>
        </w:rPr>
        <mc:AlternateContent>
          <mc:Choice Requires="wps">
            <w:drawing>
              <wp:anchor distT="0" distB="0" distL="114300" distR="114300" simplePos="0" relativeHeight="251667456" behindDoc="0" locked="0" layoutInCell="1" allowOverlap="1" wp14:anchorId="5EAE440B" wp14:editId="5E755208">
                <wp:simplePos x="0" y="0"/>
                <wp:positionH relativeFrom="margin">
                  <wp:posOffset>0</wp:posOffset>
                </wp:positionH>
                <wp:positionV relativeFrom="paragraph">
                  <wp:posOffset>-635</wp:posOffset>
                </wp:positionV>
                <wp:extent cx="5759450" cy="0"/>
                <wp:effectExtent l="0" t="0" r="0" b="0"/>
                <wp:wrapNone/>
                <wp:docPr id="730258405" name="Straight Connector 3"/>
                <wp:cNvGraphicFramePr/>
                <a:graphic xmlns:a="http://schemas.openxmlformats.org/drawingml/2006/main">
                  <a:graphicData uri="http://schemas.microsoft.com/office/word/2010/wordprocessingShape">
                    <wps:wsp>
                      <wps:cNvCnPr/>
                      <wps:spPr>
                        <a:xfrm flipV="1">
                          <a:off x="0" y="0"/>
                          <a:ext cx="5759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143FD"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" strokecolor="#196b24 [3206]" strokeweight=".5pt">
                <v:stroke joinstyle="miter"/>
                <w10:wrap anchorx="margin"/>
              </v:line>
            </w:pict>
          </mc:Fallback>
        </mc:AlternateContent>
      </w:r>
    </w:p>
    <w:p w14:paraId="792AFE56" w14:textId="77777777" w:rsidR="00244A22" w:rsidRPr="00244A22" w:rsidRDefault="00244A22" w:rsidP="00244A22">
      <w:pPr>
        <w:rPr>
          <w:b/>
          <w:bCs/>
          <w:sz w:val="28"/>
          <w:szCs w:val="28"/>
        </w:rPr>
      </w:pPr>
      <w:r w:rsidRPr="00244A22">
        <w:rPr>
          <w:b/>
          <w:bCs/>
          <w:sz w:val="28"/>
          <w:szCs w:val="28"/>
        </w:rPr>
        <w:t>Final Reflections from Councils</w:t>
      </w:r>
    </w:p>
    <w:p w14:paraId="016C197D" w14:textId="14FE6CCE" w:rsidR="00244A22" w:rsidRPr="00244A22" w:rsidRDefault="00244A22" w:rsidP="00244A22">
      <w:r w:rsidRPr="00244A22">
        <w:t>In addition to the structured survey responses, councils were invited to share further thoughts at the end of the consultation. These reflections offer valuable insight into the broader hopes, hesitations, and practical concerns shaping views on LGR and devolution. While the detail is varied, several key themes emerged consistently across the dataset.</w:t>
      </w:r>
    </w:p>
    <w:p w14:paraId="2B1A87C9" w14:textId="77777777" w:rsidR="00244A22" w:rsidRPr="00244A22" w:rsidRDefault="00244A22" w:rsidP="00244A22">
      <w:pPr>
        <w:rPr>
          <w:b/>
          <w:bCs/>
        </w:rPr>
      </w:pPr>
      <w:r w:rsidRPr="00244A22">
        <w:rPr>
          <w:b/>
          <w:bCs/>
        </w:rPr>
        <w:t>1. Lack of Clarity and Timing</w:t>
      </w:r>
    </w:p>
    <w:p w14:paraId="33D7E66A" w14:textId="77777777" w:rsidR="00244A22" w:rsidRPr="00244A22" w:rsidRDefault="00244A22" w:rsidP="00244A22">
      <w:r w:rsidRPr="00244A22">
        <w:t>Many respondents felt that the consultation was premature, expressing frustration at the absence of clear proposals or definitive structures for consideration. This lack of clarity was seen to undermine the value of their input and inhibit meaningful planning:</w:t>
      </w:r>
    </w:p>
    <w:p w14:paraId="7CAF3EEB" w14:textId="77777777" w:rsidR="00244A22" w:rsidRPr="00244A22" w:rsidRDefault="00244A22" w:rsidP="00244A22">
      <w:r w:rsidRPr="00244A22">
        <w:rPr>
          <w:i/>
          <w:iCs/>
        </w:rPr>
        <w:t>“This questionnaire is premature. Chicken and egg. Commenting in the dark until the exact form of reorganisation is decided.”</w:t>
      </w:r>
    </w:p>
    <w:p w14:paraId="6A0DADB9" w14:textId="77777777" w:rsidR="00244A22" w:rsidRPr="00244A22" w:rsidRDefault="00244A22" w:rsidP="00244A22">
      <w:r w:rsidRPr="00244A22">
        <w:rPr>
          <w:i/>
          <w:iCs/>
        </w:rPr>
        <w:t>“It is very difficult to comment on anything having no idea how the devolution of powers will look and with so much speculation in local media on how the Councils will be split/amended.”</w:t>
      </w:r>
    </w:p>
    <w:p w14:paraId="29CE8D77" w14:textId="77777777" w:rsidR="00244A22" w:rsidRPr="00244A22" w:rsidRDefault="00244A22" w:rsidP="00244A22">
      <w:r w:rsidRPr="00244A22">
        <w:rPr>
          <w:i/>
          <w:iCs/>
        </w:rPr>
        <w:t>“We need help with exactly what the parish council should be considering at this stage.”</w:t>
      </w:r>
    </w:p>
    <w:p w14:paraId="7415E059" w14:textId="77777777" w:rsidR="00244A22" w:rsidRPr="00244A22" w:rsidRDefault="00244A22" w:rsidP="00244A22">
      <w:pPr>
        <w:rPr>
          <w:b/>
          <w:bCs/>
        </w:rPr>
      </w:pPr>
      <w:r w:rsidRPr="00244A22">
        <w:rPr>
          <w:b/>
          <w:bCs/>
        </w:rPr>
        <w:t>2. Concern Over Sustainability of Small Councils</w:t>
      </w:r>
    </w:p>
    <w:p w14:paraId="064CB989" w14:textId="217E6387" w:rsidR="00244A22" w:rsidRPr="00244A22" w:rsidRDefault="00244A22" w:rsidP="00244A22">
      <w:r w:rsidRPr="00244A22">
        <w:t xml:space="preserve">Several councils voiced concern that smaller parish councils would be disproportionately affected. There was widespread anxiety about limited capacity, </w:t>
      </w:r>
      <w:r w:rsidR="003D7449">
        <w:t>councillor and clerk</w:t>
      </w:r>
      <w:r w:rsidRPr="00244A22">
        <w:t xml:space="preserve"> burnout, and the challenge of taking on responsibilities previously managed by paid officers:</w:t>
      </w:r>
    </w:p>
    <w:p w14:paraId="48767258" w14:textId="77777777" w:rsidR="00244A22" w:rsidRPr="00244A22" w:rsidRDefault="00244A22" w:rsidP="00244A22">
      <w:r w:rsidRPr="00244A22">
        <w:rPr>
          <w:i/>
          <w:iCs/>
        </w:rPr>
        <w:t>“You cannot expect volunteers to run services like basic planning etc. which is managed by paid officers and members who receive an allowance.”</w:t>
      </w:r>
    </w:p>
    <w:p w14:paraId="030D6EF1" w14:textId="77777777" w:rsidR="00244A22" w:rsidRPr="00244A22" w:rsidRDefault="00244A22" w:rsidP="00244A22">
      <w:r w:rsidRPr="00244A22">
        <w:rPr>
          <w:i/>
          <w:iCs/>
        </w:rPr>
        <w:lastRenderedPageBreak/>
        <w:t>“We are a small rural parish with very few capital assets and it’s doubtful we could take on many/any new responsibilities.”</w:t>
      </w:r>
    </w:p>
    <w:p w14:paraId="3565C647" w14:textId="77777777" w:rsidR="00244A22" w:rsidRPr="00244A22" w:rsidRDefault="00244A22" w:rsidP="00244A22">
      <w:r w:rsidRPr="00244A22">
        <w:rPr>
          <w:i/>
          <w:iCs/>
        </w:rPr>
        <w:t>“The fear is that the county/district will devolve services whilst retaining funding in order to balance their books – creating major issues for the Parish &amp; Town Councils.”</w:t>
      </w:r>
    </w:p>
    <w:p w14:paraId="1C746A83" w14:textId="77777777" w:rsidR="00244A22" w:rsidRPr="00244A22" w:rsidRDefault="00244A22" w:rsidP="00244A22">
      <w:pPr>
        <w:rPr>
          <w:b/>
          <w:bCs/>
        </w:rPr>
      </w:pPr>
      <w:r w:rsidRPr="00244A22">
        <w:rPr>
          <w:b/>
          <w:bCs/>
        </w:rPr>
        <w:t>3. Requests for Guarantees on Funding</w:t>
      </w:r>
    </w:p>
    <w:p w14:paraId="3926F078" w14:textId="77777777" w:rsidR="00244A22" w:rsidRPr="00244A22" w:rsidRDefault="00244A22" w:rsidP="00244A22">
      <w:r w:rsidRPr="00244A22">
        <w:t>Respondents reiterated throughout the survey the need for adequate financial support. These open comments reinforced that call, with many urging firm guarantees on ongoing costs and fair precept arrangements:</w:t>
      </w:r>
    </w:p>
    <w:p w14:paraId="25E3ED02" w14:textId="77777777" w:rsidR="00244A22" w:rsidRPr="00244A22" w:rsidRDefault="00244A22" w:rsidP="00244A22">
      <w:r w:rsidRPr="00244A22">
        <w:rPr>
          <w:i/>
          <w:iCs/>
        </w:rPr>
        <w:t>“The only legitimate basis for devolving responsibilities to Parish Councils has to be that this is a more efficient and cost-effective way of addressing community needs – and this must be fully funded.”</w:t>
      </w:r>
    </w:p>
    <w:p w14:paraId="34082F28" w14:textId="77777777" w:rsidR="00244A22" w:rsidRPr="00244A22" w:rsidRDefault="00244A22" w:rsidP="00244A22">
      <w:r w:rsidRPr="00244A22">
        <w:rPr>
          <w:i/>
          <w:iCs/>
        </w:rPr>
        <w:t>“If we do the work, we are saving someone else from doing it – so we will just take those funds, please.”</w:t>
      </w:r>
    </w:p>
    <w:p w14:paraId="3905EBAC" w14:textId="77777777" w:rsidR="00244A22" w:rsidRPr="00244A22" w:rsidRDefault="00244A22" w:rsidP="00244A22">
      <w:r w:rsidRPr="00244A22">
        <w:rPr>
          <w:i/>
          <w:iCs/>
        </w:rPr>
        <w:t>“Our principal concerns rest in the lack of a clear process or engagement plan with principal authorities and the lack of resourcing within them to support these discussions.”</w:t>
      </w:r>
    </w:p>
    <w:p w14:paraId="332EECAB" w14:textId="77777777" w:rsidR="00244A22" w:rsidRPr="00244A22" w:rsidRDefault="00244A22" w:rsidP="00244A22">
      <w:pPr>
        <w:rPr>
          <w:b/>
          <w:bCs/>
        </w:rPr>
      </w:pPr>
      <w:r w:rsidRPr="00244A22">
        <w:rPr>
          <w:b/>
          <w:bCs/>
        </w:rPr>
        <w:t>4. Governance and Decision-Making</w:t>
      </w:r>
    </w:p>
    <w:p w14:paraId="2A3A2507" w14:textId="77777777" w:rsidR="00244A22" w:rsidRPr="00244A22" w:rsidRDefault="00244A22" w:rsidP="00244A22">
      <w:r w:rsidRPr="00244A22">
        <w:t>A number of councils raised concerns about governance structures and the democratic legitimacy of any new arrangements. Questions about how neighbourhood groups would operate, be constituted, and be funded featured prominently:</w:t>
      </w:r>
    </w:p>
    <w:p w14:paraId="13AB4D45" w14:textId="77777777" w:rsidR="00244A22" w:rsidRPr="00244A22" w:rsidRDefault="00244A22" w:rsidP="00244A22">
      <w:r w:rsidRPr="00244A22">
        <w:rPr>
          <w:i/>
          <w:iCs/>
        </w:rPr>
        <w:t>“Neighbourhoods appear to have no status except as lobbying or consultative groups. They cannot have a statutory role without proper governance.”</w:t>
      </w:r>
    </w:p>
    <w:p w14:paraId="2DC00DBC" w14:textId="77777777" w:rsidR="00244A22" w:rsidRPr="00244A22" w:rsidRDefault="00244A22" w:rsidP="00244A22">
      <w:r w:rsidRPr="00244A22">
        <w:rPr>
          <w:i/>
          <w:iCs/>
        </w:rPr>
        <w:t>“Governance needs to ensure that decision making affecting rural areas is not dominated by the priorities of large urban areas.”</w:t>
      </w:r>
    </w:p>
    <w:p w14:paraId="3BDBAB95" w14:textId="77777777" w:rsidR="00244A22" w:rsidRPr="00244A22" w:rsidRDefault="00244A22" w:rsidP="00244A22">
      <w:r w:rsidRPr="00244A22">
        <w:rPr>
          <w:i/>
          <w:iCs/>
        </w:rPr>
        <w:t>“Clarity is needed on how decisions will be made, how assets will be managed, and how responsibilities will be divided.”</w:t>
      </w:r>
    </w:p>
    <w:p w14:paraId="75523523" w14:textId="77777777" w:rsidR="00244A22" w:rsidRPr="00244A22" w:rsidRDefault="00244A22" w:rsidP="00244A22">
      <w:pPr>
        <w:rPr>
          <w:b/>
          <w:bCs/>
        </w:rPr>
      </w:pPr>
      <w:r w:rsidRPr="00244A22">
        <w:rPr>
          <w:b/>
          <w:bCs/>
        </w:rPr>
        <w:t>5. Democratic Legitimacy and Local Voice</w:t>
      </w:r>
    </w:p>
    <w:p w14:paraId="6DCD80E4" w14:textId="77777777" w:rsidR="00244A22" w:rsidRPr="00244A22" w:rsidRDefault="00244A22" w:rsidP="00244A22">
      <w:r w:rsidRPr="00244A22">
        <w:t>Several councils worried that their voices – and those of their residents – would be diluted in any future unitary authority model. These concerns were particularly acute among smaller or rural councils:</w:t>
      </w:r>
    </w:p>
    <w:p w14:paraId="7FD68A5C" w14:textId="77777777" w:rsidR="00244A22" w:rsidRPr="00244A22" w:rsidRDefault="00244A22" w:rsidP="00244A22">
      <w:r w:rsidRPr="00244A22">
        <w:rPr>
          <w:i/>
          <w:iCs/>
        </w:rPr>
        <w:t>“Our parish is so small, we would only be able to raise a very small amount of money by increasing the precept significantly.”</w:t>
      </w:r>
    </w:p>
    <w:p w14:paraId="6486DC0A" w14:textId="77777777" w:rsidR="00244A22" w:rsidRPr="00244A22" w:rsidRDefault="00244A22" w:rsidP="00244A22">
      <w:r w:rsidRPr="00244A22">
        <w:rPr>
          <w:i/>
          <w:iCs/>
        </w:rPr>
        <w:t>“There is a danger councillors will become too overloaded with work, so the number has to be greatly increased over GCC levels.”</w:t>
      </w:r>
    </w:p>
    <w:p w14:paraId="24B445C6" w14:textId="77777777" w:rsidR="00244A22" w:rsidRPr="00244A22" w:rsidRDefault="00244A22" w:rsidP="00244A22">
      <w:r w:rsidRPr="00244A22">
        <w:rPr>
          <w:i/>
          <w:iCs/>
        </w:rPr>
        <w:t>“The concern is that a unitary authority will be remote and not fully represent the needs of the community.”</w:t>
      </w:r>
    </w:p>
    <w:p w14:paraId="32E5841D" w14:textId="77777777" w:rsidR="00244A22" w:rsidRPr="00244A22" w:rsidRDefault="00244A22" w:rsidP="00244A22">
      <w:pPr>
        <w:rPr>
          <w:b/>
          <w:bCs/>
        </w:rPr>
      </w:pPr>
      <w:r w:rsidRPr="00244A22">
        <w:rPr>
          <w:b/>
          <w:bCs/>
        </w:rPr>
        <w:t>6. Practical Proposals and Cautions</w:t>
      </w:r>
    </w:p>
    <w:p w14:paraId="2A0A1571" w14:textId="77777777" w:rsidR="00244A22" w:rsidRPr="00244A22" w:rsidRDefault="00244A22" w:rsidP="00244A22">
      <w:r w:rsidRPr="00244A22">
        <w:t>Some councils shared specific ideas or warned of unintended consequences. Several called for engagement with MPs, open information sharing, and more modelling of success in other areas:</w:t>
      </w:r>
    </w:p>
    <w:p w14:paraId="5FE55FC6" w14:textId="77777777" w:rsidR="00244A22" w:rsidRPr="00244A22" w:rsidRDefault="00244A22" w:rsidP="00244A22">
      <w:r w:rsidRPr="00244A22">
        <w:rPr>
          <w:i/>
          <w:iCs/>
        </w:rPr>
        <w:lastRenderedPageBreak/>
        <w:t>“It would be beneficial if a Member of Parliament would talk to parish and town councils about the three options for devolution.”</w:t>
      </w:r>
    </w:p>
    <w:p w14:paraId="7D9812F5" w14:textId="77777777" w:rsidR="00244A22" w:rsidRPr="00244A22" w:rsidRDefault="00244A22" w:rsidP="00244A22">
      <w:r w:rsidRPr="00244A22">
        <w:rPr>
          <w:i/>
          <w:iCs/>
        </w:rPr>
        <w:t>“GAPTC and local parishes need to remain on the front foot – it’s still all to play for.”</w:t>
      </w:r>
    </w:p>
    <w:p w14:paraId="4E1C2DA6" w14:textId="77777777" w:rsidR="00244A22" w:rsidRPr="00244A22" w:rsidRDefault="00244A22" w:rsidP="00244A22">
      <w:r w:rsidRPr="00244A22">
        <w:rPr>
          <w:i/>
          <w:iCs/>
        </w:rPr>
        <w:t>“The GAPTC paper doesn’t give much indication of how well the suggested models have worked in other areas.”</w:t>
      </w:r>
    </w:p>
    <w:p w14:paraId="2A1021D5" w14:textId="77777777" w:rsidR="00244A22" w:rsidRDefault="00244A22" w:rsidP="00244A22">
      <w:r w:rsidRPr="00244A22">
        <w:t>These reflections offer a sobering but constructive picture. They show that while many councils are open to change in principle, there are still fundamental concerns around fairness, funding, and clarity that will need to be addressed if LGR and devolution are to succeed in Gloucestershire.</w:t>
      </w:r>
    </w:p>
    <w:p w14:paraId="36C60EEE" w14:textId="77777777" w:rsidR="00F04F0F" w:rsidRPr="00244A22" w:rsidRDefault="00F04F0F" w:rsidP="00244A22"/>
    <w:p w14:paraId="25D0F2BD" w14:textId="2E56E658" w:rsidR="00244A22" w:rsidRDefault="00F04F0F" w:rsidP="00D75CCD">
      <w:r>
        <w:rPr>
          <w:b/>
          <w:bCs/>
          <w:noProof/>
          <w:sz w:val="28"/>
          <w:szCs w:val="28"/>
        </w:rPr>
        <mc:AlternateContent>
          <mc:Choice Requires="wps">
            <w:drawing>
              <wp:anchor distT="0" distB="0" distL="114300" distR="114300" simplePos="0" relativeHeight="251665408" behindDoc="0" locked="0" layoutInCell="1" allowOverlap="1" wp14:anchorId="56CF97E2" wp14:editId="750291BD">
                <wp:simplePos x="0" y="0"/>
                <wp:positionH relativeFrom="margin">
                  <wp:posOffset>0</wp:posOffset>
                </wp:positionH>
                <wp:positionV relativeFrom="paragraph">
                  <wp:posOffset>-635</wp:posOffset>
                </wp:positionV>
                <wp:extent cx="5759450" cy="0"/>
                <wp:effectExtent l="0" t="0" r="0" b="0"/>
                <wp:wrapNone/>
                <wp:docPr id="1231906909" name="Straight Connector 3"/>
                <wp:cNvGraphicFramePr/>
                <a:graphic xmlns:a="http://schemas.openxmlformats.org/drawingml/2006/main">
                  <a:graphicData uri="http://schemas.microsoft.com/office/word/2010/wordprocessingShape">
                    <wps:wsp>
                      <wps:cNvCnPr/>
                      <wps:spPr>
                        <a:xfrm flipV="1">
                          <a:off x="0" y="0"/>
                          <a:ext cx="5759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99EC2"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" strokecolor="#196b24 [3206]" strokeweight=".5pt">
                <v:stroke joinstyle="miter"/>
                <w10:wrap anchorx="margin"/>
              </v:line>
            </w:pict>
          </mc:Fallback>
        </mc:AlternateContent>
      </w:r>
    </w:p>
    <w:p w14:paraId="4BB68C05" w14:textId="2FE3E9B8" w:rsidR="00EF24AA" w:rsidRPr="00904815" w:rsidRDefault="00244A22" w:rsidP="00EF24AA">
      <w:pPr>
        <w:rPr>
          <w:b/>
          <w:bCs/>
          <w:sz w:val="32"/>
          <w:szCs w:val="32"/>
        </w:rPr>
      </w:pPr>
      <w:r w:rsidRPr="00904815">
        <w:rPr>
          <w:b/>
          <w:bCs/>
          <w:sz w:val="32"/>
          <w:szCs w:val="32"/>
        </w:rPr>
        <w:t>Appendix</w:t>
      </w:r>
    </w:p>
    <w:p w14:paraId="239DCB44" w14:textId="55E5248A" w:rsidR="00904815" w:rsidRPr="00904815" w:rsidRDefault="00904815" w:rsidP="00904815">
      <w:pPr>
        <w:rPr>
          <w:b/>
          <w:bCs/>
          <w:color w:val="808080" w:themeColor="background1" w:themeShade="80"/>
          <w:sz w:val="28"/>
          <w:szCs w:val="28"/>
        </w:rPr>
      </w:pPr>
      <w:r w:rsidRPr="00904815">
        <w:rPr>
          <w:b/>
          <w:bCs/>
          <w:color w:val="808080" w:themeColor="background1" w:themeShade="80"/>
          <w:sz w:val="28"/>
          <w:szCs w:val="28"/>
        </w:rPr>
        <w:t>Highlights</w:t>
      </w:r>
    </w:p>
    <w:p w14:paraId="778BBA67" w14:textId="71F4D3B2" w:rsidR="00904815" w:rsidRPr="00904815" w:rsidRDefault="00904815" w:rsidP="00904815">
      <w:r w:rsidRPr="00904815">
        <w:t>To assist readers in interpreting the detailed tables provided, this summary outlines key patterns and points of interest across council size, district and dataset groupings.</w:t>
      </w:r>
    </w:p>
    <w:p w14:paraId="467B054B" w14:textId="5F5B1FE5" w:rsidR="00904815" w:rsidRPr="00904815" w:rsidRDefault="00904815" w:rsidP="00904815">
      <w:pPr>
        <w:rPr>
          <w:b/>
          <w:bCs/>
        </w:rPr>
      </w:pPr>
      <w:r w:rsidRPr="00904815">
        <w:rPr>
          <w:b/>
          <w:bCs/>
        </w:rPr>
        <w:t>Variation by Council Size</w:t>
      </w:r>
    </w:p>
    <w:p w14:paraId="7886DC18" w14:textId="77777777" w:rsidR="00904815" w:rsidRPr="00904815" w:rsidRDefault="00904815" w:rsidP="00904815">
      <w:pPr>
        <w:numPr>
          <w:ilvl w:val="0"/>
          <w:numId w:val="74"/>
        </w:numPr>
      </w:pPr>
      <w:r w:rsidRPr="00904815">
        <w:rPr>
          <w:b/>
          <w:bCs/>
        </w:rPr>
        <w:t>Larger councils</w:t>
      </w:r>
      <w:r w:rsidRPr="00904815">
        <w:t xml:space="preserve"> (e.g. those with higher precepts or staffing) were significantly more likely to express </w:t>
      </w:r>
      <w:r w:rsidRPr="00904815">
        <w:rPr>
          <w:b/>
          <w:bCs/>
        </w:rPr>
        <w:t>interest in taking on additional responsibilities</w:t>
      </w:r>
      <w:r w:rsidRPr="00904815">
        <w:t>, particularly where they already manage assets or services.</w:t>
      </w:r>
    </w:p>
    <w:p w14:paraId="68B67A5B" w14:textId="2D430846" w:rsidR="00904815" w:rsidRPr="00904815" w:rsidRDefault="00904815" w:rsidP="00904815">
      <w:pPr>
        <w:numPr>
          <w:ilvl w:val="0"/>
          <w:numId w:val="74"/>
        </w:numPr>
      </w:pPr>
      <w:r w:rsidRPr="00904815">
        <w:rPr>
          <w:b/>
          <w:bCs/>
        </w:rPr>
        <w:t>Smaller councils</w:t>
      </w:r>
      <w:r w:rsidRPr="00904815">
        <w:t xml:space="preserve"> often raised concerns about </w:t>
      </w:r>
      <w:r w:rsidR="00F97D6C">
        <w:rPr>
          <w:b/>
          <w:bCs/>
        </w:rPr>
        <w:t>councillor</w:t>
      </w:r>
      <w:r w:rsidRPr="00904815">
        <w:rPr>
          <w:b/>
          <w:bCs/>
        </w:rPr>
        <w:t xml:space="preserve"> capacity, office space, and administrative burden</w:t>
      </w:r>
      <w:r w:rsidRPr="00904815">
        <w:t>, and were more likely to state that new responsibilities would not be viable without full financial support.</w:t>
      </w:r>
    </w:p>
    <w:p w14:paraId="3B80D5CB" w14:textId="77777777" w:rsidR="00904815" w:rsidRPr="00904815" w:rsidRDefault="00904815" w:rsidP="00904815">
      <w:pPr>
        <w:numPr>
          <w:ilvl w:val="0"/>
          <w:numId w:val="74"/>
        </w:numPr>
      </w:pPr>
      <w:r w:rsidRPr="00904815">
        <w:t xml:space="preserve">Willingness to collaborate with neighbouring councils was </w:t>
      </w:r>
      <w:r w:rsidRPr="00904815">
        <w:rPr>
          <w:b/>
          <w:bCs/>
        </w:rPr>
        <w:t>highest among mid-sized councils</w:t>
      </w:r>
      <w:r w:rsidRPr="00904815">
        <w:t>, who recognised the benefit of shared infrastructure without being overwhelmed by scale.</w:t>
      </w:r>
    </w:p>
    <w:p w14:paraId="58969354" w14:textId="44429513" w:rsidR="00904815" w:rsidRPr="00904815" w:rsidRDefault="00904815" w:rsidP="00904815">
      <w:pPr>
        <w:rPr>
          <w:b/>
          <w:bCs/>
        </w:rPr>
      </w:pPr>
      <w:r w:rsidRPr="00904815">
        <w:rPr>
          <w:b/>
          <w:bCs/>
        </w:rPr>
        <w:t>Notable District Trends</w:t>
      </w:r>
    </w:p>
    <w:p w14:paraId="239EDB67" w14:textId="77777777" w:rsidR="00904815" w:rsidRPr="00904815" w:rsidRDefault="00904815" w:rsidP="00904815">
      <w:pPr>
        <w:numPr>
          <w:ilvl w:val="0"/>
          <w:numId w:val="75"/>
        </w:numPr>
      </w:pPr>
      <w:r w:rsidRPr="00904815">
        <w:rPr>
          <w:b/>
          <w:bCs/>
        </w:rPr>
        <w:t>Cotswold and Stroud districts</w:t>
      </w:r>
      <w:r w:rsidRPr="00904815">
        <w:t xml:space="preserve"> returned a greater number of formal or consolidated council responses (primary dataset), and their feedback often included </w:t>
      </w:r>
      <w:r w:rsidRPr="00904815">
        <w:rPr>
          <w:b/>
          <w:bCs/>
        </w:rPr>
        <w:t>detailed commentary on governance structures and neighbourhood arrangements</w:t>
      </w:r>
      <w:r w:rsidRPr="00904815">
        <w:t>.</w:t>
      </w:r>
    </w:p>
    <w:p w14:paraId="2053C8C0" w14:textId="77777777" w:rsidR="00904815" w:rsidRPr="00904815" w:rsidRDefault="00904815" w:rsidP="00904815">
      <w:pPr>
        <w:numPr>
          <w:ilvl w:val="0"/>
          <w:numId w:val="75"/>
        </w:numPr>
      </w:pPr>
      <w:r w:rsidRPr="00904815">
        <w:rPr>
          <w:b/>
          <w:bCs/>
        </w:rPr>
        <w:t>Forest of Dean and Tewkesbury</w:t>
      </w:r>
      <w:r w:rsidRPr="00904815">
        <w:t xml:space="preserve"> councils more frequently voiced </w:t>
      </w:r>
      <w:r w:rsidRPr="00904815">
        <w:rPr>
          <w:b/>
          <w:bCs/>
        </w:rPr>
        <w:t>concerns around funding inequalities</w:t>
      </w:r>
      <w:r w:rsidRPr="00904815">
        <w:t xml:space="preserve"> and the </w:t>
      </w:r>
      <w:r w:rsidRPr="00904815">
        <w:rPr>
          <w:b/>
          <w:bCs/>
        </w:rPr>
        <w:t>risk of rural areas losing out</w:t>
      </w:r>
      <w:r w:rsidRPr="00904815">
        <w:t xml:space="preserve"> in any reorganisation.</w:t>
      </w:r>
    </w:p>
    <w:p w14:paraId="4949286B" w14:textId="77777777" w:rsidR="00904815" w:rsidRPr="00904815" w:rsidRDefault="00904815" w:rsidP="00904815">
      <w:pPr>
        <w:numPr>
          <w:ilvl w:val="0"/>
          <w:numId w:val="75"/>
        </w:numPr>
      </w:pPr>
      <w:r w:rsidRPr="00904815">
        <w:rPr>
          <w:b/>
          <w:bCs/>
        </w:rPr>
        <w:t>Urban-edge parishes</w:t>
      </w:r>
      <w:r w:rsidRPr="00904815">
        <w:t xml:space="preserve"> commonly questioned whether proposals would improve local voice or result in added layers of complexity.</w:t>
      </w:r>
    </w:p>
    <w:p w14:paraId="16A07354" w14:textId="2E9F7C8F" w:rsidR="00904815" w:rsidRPr="00904815" w:rsidRDefault="00904815" w:rsidP="00904815">
      <w:pPr>
        <w:rPr>
          <w:b/>
          <w:bCs/>
        </w:rPr>
      </w:pPr>
      <w:r w:rsidRPr="00904815">
        <w:rPr>
          <w:b/>
          <w:bCs/>
        </w:rPr>
        <w:t>Differences Between Datasets</w:t>
      </w:r>
    </w:p>
    <w:p w14:paraId="24752AEB" w14:textId="77777777" w:rsidR="00904815" w:rsidRPr="00904815" w:rsidRDefault="00904815" w:rsidP="00904815">
      <w:pPr>
        <w:numPr>
          <w:ilvl w:val="0"/>
          <w:numId w:val="76"/>
        </w:numPr>
      </w:pPr>
      <w:r w:rsidRPr="00904815">
        <w:t xml:space="preserve">The </w:t>
      </w:r>
      <w:r w:rsidRPr="00904815">
        <w:rPr>
          <w:b/>
          <w:bCs/>
        </w:rPr>
        <w:t>primary dataset</w:t>
      </w:r>
      <w:r w:rsidRPr="00904815">
        <w:t xml:space="preserve"> (34 responses) formed the foundation for headline statistics and showed a higher level of confidence in understanding and readiness for change.</w:t>
      </w:r>
    </w:p>
    <w:p w14:paraId="3DFC4533" w14:textId="77777777" w:rsidR="00904815" w:rsidRPr="00904815" w:rsidRDefault="00904815" w:rsidP="00904815">
      <w:pPr>
        <w:numPr>
          <w:ilvl w:val="0"/>
          <w:numId w:val="76"/>
        </w:numPr>
      </w:pPr>
      <w:r w:rsidRPr="00904815">
        <w:lastRenderedPageBreak/>
        <w:t xml:space="preserve">The </w:t>
      </w:r>
      <w:r w:rsidRPr="00904815">
        <w:rPr>
          <w:b/>
          <w:bCs/>
        </w:rPr>
        <w:t>expanded dataset</w:t>
      </w:r>
      <w:r w:rsidRPr="00904815">
        <w:t xml:space="preserve"> (75 responses) added nuance, particularly around </w:t>
      </w:r>
      <w:r w:rsidRPr="00904815">
        <w:rPr>
          <w:b/>
          <w:bCs/>
        </w:rPr>
        <w:t>individual officer or councillor concerns</w:t>
      </w:r>
      <w:r w:rsidRPr="00904815">
        <w:t>, highlighting more uncertainty and variable awareness of devolution plans.</w:t>
      </w:r>
    </w:p>
    <w:p w14:paraId="11F7887A" w14:textId="5D2A2D8B" w:rsidR="00904815" w:rsidRPr="00904815" w:rsidRDefault="00904815" w:rsidP="00904815">
      <w:pPr>
        <w:numPr>
          <w:ilvl w:val="0"/>
          <w:numId w:val="76"/>
        </w:numPr>
      </w:pPr>
      <w:r w:rsidRPr="00904815">
        <w:t xml:space="preserve">Key divergences appeared in questions about </w:t>
      </w:r>
      <w:r w:rsidRPr="00904815">
        <w:rPr>
          <w:b/>
          <w:bCs/>
        </w:rPr>
        <w:t>raising the precept and capacity to deliver</w:t>
      </w:r>
      <w:r w:rsidRPr="00904815">
        <w:t xml:space="preserve">—with </w:t>
      </w:r>
      <w:r w:rsidR="00F97D6C">
        <w:t>individual clerk and councillor</w:t>
      </w:r>
      <w:r w:rsidRPr="00904815">
        <w:t xml:space="preserve"> respondents more cautious or uncertain.</w:t>
      </w:r>
    </w:p>
    <w:p w14:paraId="603B66B7" w14:textId="77777777" w:rsidR="00904815" w:rsidRPr="00904815" w:rsidRDefault="00904815" w:rsidP="00904815">
      <w:r w:rsidRPr="00904815">
        <w:t>This snapshot should help readers navigate the detailed tables that follow and better understand the diversity of views across Gloucestershire’s local councils.</w:t>
      </w:r>
    </w:p>
    <w:p w14:paraId="06738D0B" w14:textId="49D9708C" w:rsidR="00904815" w:rsidRPr="00904815" w:rsidRDefault="00904815" w:rsidP="00904815">
      <w:pPr>
        <w:rPr>
          <w:b/>
          <w:bCs/>
          <w:color w:val="808080" w:themeColor="background1" w:themeShade="80"/>
          <w:sz w:val="28"/>
          <w:szCs w:val="28"/>
        </w:rPr>
      </w:pPr>
      <w:r w:rsidRPr="00904815">
        <w:rPr>
          <w:b/>
          <w:bCs/>
          <w:color w:val="808080" w:themeColor="background1" w:themeShade="80"/>
          <w:sz w:val="28"/>
          <w:szCs w:val="28"/>
        </w:rPr>
        <w:t>Full Dataset Tables</w:t>
      </w:r>
    </w:p>
    <w:p w14:paraId="19F684EA" w14:textId="32557B17" w:rsidR="00904815" w:rsidRPr="00904815" w:rsidRDefault="00904815" w:rsidP="00904815">
      <w:r w:rsidRPr="00904815">
        <w:t>The following tables present detailed response data from the 75 verified council entries</w:t>
      </w:r>
      <w:r w:rsidR="00926CF3">
        <w:t>.</w:t>
      </w:r>
      <w:r w:rsidRPr="00904815">
        <w:t xml:space="preserve"> These tables allow for comparison by council size, district, and type of respondent. The tables are organised to reflect the order of key themes addressed in the main report, including:</w:t>
      </w:r>
    </w:p>
    <w:p w14:paraId="2155B50A" w14:textId="77777777" w:rsidR="00904815" w:rsidRPr="00904815" w:rsidRDefault="00904815" w:rsidP="00904815">
      <w:pPr>
        <w:numPr>
          <w:ilvl w:val="0"/>
          <w:numId w:val="77"/>
        </w:numPr>
      </w:pPr>
      <w:r w:rsidRPr="00904815">
        <w:t>Understanding and attitudes toward devolution</w:t>
      </w:r>
    </w:p>
    <w:p w14:paraId="700F04AA" w14:textId="77777777" w:rsidR="00904815" w:rsidRPr="00904815" w:rsidRDefault="00904815" w:rsidP="00904815">
      <w:pPr>
        <w:numPr>
          <w:ilvl w:val="0"/>
          <w:numId w:val="77"/>
        </w:numPr>
      </w:pPr>
      <w:r w:rsidRPr="00904815">
        <w:t>Capacity, service delivery, and governance</w:t>
      </w:r>
    </w:p>
    <w:p w14:paraId="0B32EB44" w14:textId="77777777" w:rsidR="00904815" w:rsidRPr="00904815" w:rsidRDefault="00904815" w:rsidP="00904815">
      <w:pPr>
        <w:numPr>
          <w:ilvl w:val="0"/>
          <w:numId w:val="77"/>
        </w:numPr>
      </w:pPr>
      <w:r w:rsidRPr="00904815">
        <w:t>Collaboration and willingness to raise the precept</w:t>
      </w:r>
    </w:p>
    <w:p w14:paraId="3B784CC5" w14:textId="77777777" w:rsidR="00904815" w:rsidRPr="00904815" w:rsidRDefault="00904815" w:rsidP="00904815">
      <w:pPr>
        <w:numPr>
          <w:ilvl w:val="0"/>
          <w:numId w:val="77"/>
        </w:numPr>
      </w:pPr>
      <w:r w:rsidRPr="00904815">
        <w:t>Support needs and expectations</w:t>
      </w:r>
    </w:p>
    <w:p w14:paraId="1125FCD5" w14:textId="77777777" w:rsidR="00904815" w:rsidRPr="00904815" w:rsidRDefault="00904815" w:rsidP="00904815">
      <w:pPr>
        <w:numPr>
          <w:ilvl w:val="0"/>
          <w:numId w:val="77"/>
        </w:numPr>
      </w:pPr>
      <w:r w:rsidRPr="00904815">
        <w:t>Preferences for neighbourhood arrangements</w:t>
      </w:r>
    </w:p>
    <w:p w14:paraId="796133FE" w14:textId="1193BA64" w:rsidR="00904815" w:rsidRPr="00904815" w:rsidRDefault="00904815" w:rsidP="00904815">
      <w:r w:rsidRPr="00904815">
        <w:t>These tables are best read alongside the “Appendix Highlights”, which summarise key variations and trends across groups.</w:t>
      </w:r>
    </w:p>
    <w:p w14:paraId="0320F4EB" w14:textId="67F2D5EE" w:rsidR="00244A22" w:rsidRPr="00D34CEC" w:rsidRDefault="00B35812" w:rsidP="00244A22">
      <w:pPr>
        <w:rPr>
          <w:b/>
          <w:bCs/>
        </w:rPr>
      </w:pPr>
      <w:r w:rsidRPr="00B35812">
        <w:rPr>
          <w:b/>
          <w:bCs/>
        </w:rPr>
        <w:t xml:space="preserve">Primary </w:t>
      </w:r>
      <w:r w:rsidR="00F97D6C">
        <w:rPr>
          <w:b/>
          <w:bCs/>
        </w:rPr>
        <w:t>(34</w:t>
      </w:r>
      <w:r w:rsidR="0096564C">
        <w:rPr>
          <w:b/>
          <w:bCs/>
        </w:rPr>
        <w:t xml:space="preserve"> </w:t>
      </w:r>
      <w:r w:rsidR="00F97D6C">
        <w:rPr>
          <w:b/>
          <w:bCs/>
        </w:rPr>
        <w:t xml:space="preserve">respondents) </w:t>
      </w:r>
      <w:r w:rsidRPr="00B35812">
        <w:rPr>
          <w:b/>
          <w:bCs/>
        </w:rPr>
        <w:t>vs Full Verified</w:t>
      </w:r>
      <w:r w:rsidR="00F97D6C">
        <w:rPr>
          <w:b/>
          <w:bCs/>
        </w:rPr>
        <w:t xml:space="preserve"> (75 respondents)</w:t>
      </w:r>
      <w:r w:rsidRPr="00B35812">
        <w:rPr>
          <w:b/>
          <w:bCs/>
        </w:rPr>
        <w:t xml:space="preserve"> Dataset Comparison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1"/>
        <w:gridCol w:w="2598"/>
        <w:gridCol w:w="1237"/>
        <w:gridCol w:w="1064"/>
        <w:gridCol w:w="895"/>
        <w:gridCol w:w="671"/>
      </w:tblGrid>
      <w:tr w:rsidR="0096564C" w:rsidRPr="00D34CEC" w14:paraId="5274AC54" w14:textId="77777777" w:rsidTr="00117458">
        <w:trPr>
          <w:tblHeader/>
          <w:tblCellSpacing w:w="15" w:type="dxa"/>
        </w:trPr>
        <w:tc>
          <w:tcPr>
            <w:tcW w:w="0" w:type="auto"/>
            <w:vAlign w:val="center"/>
            <w:hideMark/>
          </w:tcPr>
          <w:p w14:paraId="22608C00" w14:textId="77777777" w:rsidR="00244A22" w:rsidRPr="00D34CEC" w:rsidRDefault="00244A22" w:rsidP="00117458">
            <w:pPr>
              <w:rPr>
                <w:b/>
                <w:bCs/>
              </w:rPr>
            </w:pPr>
            <w:r w:rsidRPr="00D34CEC">
              <w:rPr>
                <w:b/>
                <w:bCs/>
              </w:rPr>
              <w:t>Question Area</w:t>
            </w:r>
          </w:p>
        </w:tc>
        <w:tc>
          <w:tcPr>
            <w:tcW w:w="0" w:type="auto"/>
            <w:vAlign w:val="center"/>
            <w:hideMark/>
          </w:tcPr>
          <w:p w14:paraId="6CE7B16B" w14:textId="77777777" w:rsidR="00244A22" w:rsidRPr="00D34CEC" w:rsidRDefault="00244A22" w:rsidP="00117458">
            <w:pPr>
              <w:rPr>
                <w:b/>
                <w:bCs/>
              </w:rPr>
            </w:pPr>
            <w:r w:rsidRPr="00D34CEC">
              <w:rPr>
                <w:b/>
                <w:bCs/>
              </w:rPr>
              <w:t>Response Option</w:t>
            </w:r>
          </w:p>
        </w:tc>
        <w:tc>
          <w:tcPr>
            <w:tcW w:w="0" w:type="auto"/>
            <w:vAlign w:val="center"/>
            <w:hideMark/>
          </w:tcPr>
          <w:p w14:paraId="0F8E496A" w14:textId="33DA5240" w:rsidR="00244A22" w:rsidRPr="00D34CEC" w:rsidRDefault="00244A22" w:rsidP="00117458">
            <w:pPr>
              <w:rPr>
                <w:b/>
                <w:bCs/>
              </w:rPr>
            </w:pPr>
            <w:r w:rsidRPr="00D34CEC">
              <w:rPr>
                <w:b/>
                <w:bCs/>
              </w:rPr>
              <w:t>Count (</w:t>
            </w:r>
            <w:r w:rsidR="0096564C">
              <w:rPr>
                <w:b/>
                <w:bCs/>
              </w:rPr>
              <w:t>Primary</w:t>
            </w:r>
            <w:r w:rsidRPr="00D34CEC">
              <w:rPr>
                <w:b/>
                <w:bCs/>
              </w:rPr>
              <w:t>)</w:t>
            </w:r>
          </w:p>
        </w:tc>
        <w:tc>
          <w:tcPr>
            <w:tcW w:w="0" w:type="auto"/>
            <w:vAlign w:val="center"/>
            <w:hideMark/>
          </w:tcPr>
          <w:p w14:paraId="60A31E94" w14:textId="6D2829BA" w:rsidR="00244A22" w:rsidRPr="00D34CEC" w:rsidRDefault="00244A22" w:rsidP="00117458">
            <w:pPr>
              <w:rPr>
                <w:b/>
                <w:bCs/>
              </w:rPr>
            </w:pPr>
            <w:r w:rsidRPr="00D34CEC">
              <w:rPr>
                <w:b/>
                <w:bCs/>
              </w:rPr>
              <w:t>% (</w:t>
            </w:r>
            <w:r w:rsidR="0096564C">
              <w:rPr>
                <w:b/>
                <w:bCs/>
              </w:rPr>
              <w:t>Primary</w:t>
            </w:r>
            <w:r w:rsidRPr="00D34CEC">
              <w:rPr>
                <w:b/>
                <w:bCs/>
              </w:rPr>
              <w:t>)</w:t>
            </w:r>
          </w:p>
        </w:tc>
        <w:tc>
          <w:tcPr>
            <w:tcW w:w="0" w:type="auto"/>
            <w:vAlign w:val="center"/>
            <w:hideMark/>
          </w:tcPr>
          <w:p w14:paraId="6CD90102" w14:textId="4C92C456" w:rsidR="00244A22" w:rsidRPr="00D34CEC" w:rsidRDefault="00244A22" w:rsidP="00117458">
            <w:pPr>
              <w:rPr>
                <w:b/>
                <w:bCs/>
              </w:rPr>
            </w:pPr>
            <w:r w:rsidRPr="00D34CEC">
              <w:rPr>
                <w:b/>
                <w:bCs/>
              </w:rPr>
              <w:t>Count (</w:t>
            </w:r>
            <w:r w:rsidR="0096564C">
              <w:rPr>
                <w:b/>
                <w:bCs/>
              </w:rPr>
              <w:t>Full</w:t>
            </w:r>
            <w:r w:rsidRPr="00D34CEC">
              <w:rPr>
                <w:b/>
                <w:bCs/>
              </w:rPr>
              <w:t>)</w:t>
            </w:r>
          </w:p>
        </w:tc>
        <w:tc>
          <w:tcPr>
            <w:tcW w:w="0" w:type="auto"/>
            <w:vAlign w:val="center"/>
            <w:hideMark/>
          </w:tcPr>
          <w:p w14:paraId="5C08A37C" w14:textId="12FBBD00" w:rsidR="00244A22" w:rsidRPr="00D34CEC" w:rsidRDefault="00244A22" w:rsidP="00117458">
            <w:pPr>
              <w:rPr>
                <w:b/>
                <w:bCs/>
              </w:rPr>
            </w:pPr>
            <w:r w:rsidRPr="00D34CEC">
              <w:rPr>
                <w:b/>
                <w:bCs/>
              </w:rPr>
              <w:t>% (</w:t>
            </w:r>
            <w:r w:rsidR="0096564C">
              <w:rPr>
                <w:b/>
                <w:bCs/>
              </w:rPr>
              <w:t>Full</w:t>
            </w:r>
            <w:r w:rsidRPr="00D34CEC">
              <w:rPr>
                <w:b/>
                <w:bCs/>
              </w:rPr>
              <w:t>)</w:t>
            </w:r>
          </w:p>
        </w:tc>
      </w:tr>
      <w:tr w:rsidR="0096564C" w:rsidRPr="00D34CEC" w14:paraId="270F8DD2" w14:textId="77777777" w:rsidTr="00117458">
        <w:trPr>
          <w:tblCellSpacing w:w="15" w:type="dxa"/>
        </w:trPr>
        <w:tc>
          <w:tcPr>
            <w:tcW w:w="0" w:type="auto"/>
            <w:vAlign w:val="center"/>
            <w:hideMark/>
          </w:tcPr>
          <w:p w14:paraId="6103FC03" w14:textId="77777777" w:rsidR="00244A22" w:rsidRPr="00D34CEC" w:rsidRDefault="00244A22" w:rsidP="00117458">
            <w:r w:rsidRPr="00D34CEC">
              <w:rPr>
                <w:b/>
                <w:bCs/>
              </w:rPr>
              <w:t>Interest in Taking on Responsibilities</w:t>
            </w:r>
          </w:p>
        </w:tc>
        <w:tc>
          <w:tcPr>
            <w:tcW w:w="0" w:type="auto"/>
            <w:vAlign w:val="center"/>
            <w:hideMark/>
          </w:tcPr>
          <w:p w14:paraId="70E7F5B3" w14:textId="77777777" w:rsidR="00244A22" w:rsidRPr="00D34CEC" w:rsidRDefault="00244A22" w:rsidP="00117458">
            <w:r w:rsidRPr="00D34CEC">
              <w:t>Yes</w:t>
            </w:r>
          </w:p>
        </w:tc>
        <w:tc>
          <w:tcPr>
            <w:tcW w:w="0" w:type="auto"/>
            <w:vAlign w:val="center"/>
            <w:hideMark/>
          </w:tcPr>
          <w:p w14:paraId="0DC9C27A" w14:textId="77777777" w:rsidR="00244A22" w:rsidRPr="00D34CEC" w:rsidRDefault="00244A22" w:rsidP="00117458">
            <w:r w:rsidRPr="00D34CEC">
              <w:t>15</w:t>
            </w:r>
          </w:p>
        </w:tc>
        <w:tc>
          <w:tcPr>
            <w:tcW w:w="0" w:type="auto"/>
            <w:vAlign w:val="center"/>
            <w:hideMark/>
          </w:tcPr>
          <w:p w14:paraId="10366BE9" w14:textId="77777777" w:rsidR="00244A22" w:rsidRPr="00D34CEC" w:rsidRDefault="00244A22" w:rsidP="00117458">
            <w:r w:rsidRPr="00D34CEC">
              <w:t>44%</w:t>
            </w:r>
          </w:p>
        </w:tc>
        <w:tc>
          <w:tcPr>
            <w:tcW w:w="0" w:type="auto"/>
            <w:vAlign w:val="center"/>
            <w:hideMark/>
          </w:tcPr>
          <w:p w14:paraId="12D675DB" w14:textId="77777777" w:rsidR="00244A22" w:rsidRPr="00D34CEC" w:rsidRDefault="00244A22" w:rsidP="00117458">
            <w:r w:rsidRPr="00D34CEC">
              <w:t>24</w:t>
            </w:r>
          </w:p>
        </w:tc>
        <w:tc>
          <w:tcPr>
            <w:tcW w:w="0" w:type="auto"/>
            <w:vAlign w:val="center"/>
            <w:hideMark/>
          </w:tcPr>
          <w:p w14:paraId="48740C7A" w14:textId="77777777" w:rsidR="00244A22" w:rsidRPr="00D34CEC" w:rsidRDefault="00244A22" w:rsidP="00117458">
            <w:r w:rsidRPr="00D34CEC">
              <w:t>32%</w:t>
            </w:r>
          </w:p>
        </w:tc>
      </w:tr>
      <w:tr w:rsidR="0096564C" w:rsidRPr="00D34CEC" w14:paraId="43705AB3" w14:textId="77777777" w:rsidTr="00117458">
        <w:trPr>
          <w:tblCellSpacing w:w="15" w:type="dxa"/>
        </w:trPr>
        <w:tc>
          <w:tcPr>
            <w:tcW w:w="0" w:type="auto"/>
            <w:vAlign w:val="center"/>
            <w:hideMark/>
          </w:tcPr>
          <w:p w14:paraId="1AC0818A" w14:textId="77777777" w:rsidR="00244A22" w:rsidRPr="00D34CEC" w:rsidRDefault="00244A22" w:rsidP="00117458"/>
        </w:tc>
        <w:tc>
          <w:tcPr>
            <w:tcW w:w="0" w:type="auto"/>
            <w:vAlign w:val="center"/>
            <w:hideMark/>
          </w:tcPr>
          <w:p w14:paraId="66365336" w14:textId="77777777" w:rsidR="00244A22" w:rsidRPr="00D34CEC" w:rsidRDefault="00244A22" w:rsidP="00117458">
            <w:r w:rsidRPr="00D34CEC">
              <w:t>Not sure</w:t>
            </w:r>
          </w:p>
        </w:tc>
        <w:tc>
          <w:tcPr>
            <w:tcW w:w="0" w:type="auto"/>
            <w:vAlign w:val="center"/>
            <w:hideMark/>
          </w:tcPr>
          <w:p w14:paraId="4D2334C7" w14:textId="77777777" w:rsidR="00244A22" w:rsidRPr="00D34CEC" w:rsidRDefault="00244A22" w:rsidP="00117458">
            <w:r w:rsidRPr="00D34CEC">
              <w:t>16</w:t>
            </w:r>
          </w:p>
        </w:tc>
        <w:tc>
          <w:tcPr>
            <w:tcW w:w="0" w:type="auto"/>
            <w:vAlign w:val="center"/>
            <w:hideMark/>
          </w:tcPr>
          <w:p w14:paraId="5AACA14A" w14:textId="77777777" w:rsidR="00244A22" w:rsidRPr="00D34CEC" w:rsidRDefault="00244A22" w:rsidP="00117458">
            <w:r w:rsidRPr="00D34CEC">
              <w:t>47%</w:t>
            </w:r>
          </w:p>
        </w:tc>
        <w:tc>
          <w:tcPr>
            <w:tcW w:w="0" w:type="auto"/>
            <w:vAlign w:val="center"/>
            <w:hideMark/>
          </w:tcPr>
          <w:p w14:paraId="2BB47C69" w14:textId="77777777" w:rsidR="00244A22" w:rsidRPr="00D34CEC" w:rsidRDefault="00244A22" w:rsidP="00117458">
            <w:r w:rsidRPr="00D34CEC">
              <w:t>41</w:t>
            </w:r>
          </w:p>
        </w:tc>
        <w:tc>
          <w:tcPr>
            <w:tcW w:w="0" w:type="auto"/>
            <w:vAlign w:val="center"/>
            <w:hideMark/>
          </w:tcPr>
          <w:p w14:paraId="46158A88" w14:textId="77777777" w:rsidR="00244A22" w:rsidRPr="00D34CEC" w:rsidRDefault="00244A22" w:rsidP="00117458">
            <w:r w:rsidRPr="00D34CEC">
              <w:t>55%</w:t>
            </w:r>
          </w:p>
        </w:tc>
      </w:tr>
      <w:tr w:rsidR="0096564C" w:rsidRPr="00D34CEC" w14:paraId="4D594D30" w14:textId="77777777" w:rsidTr="00117458">
        <w:trPr>
          <w:tblCellSpacing w:w="15" w:type="dxa"/>
        </w:trPr>
        <w:tc>
          <w:tcPr>
            <w:tcW w:w="0" w:type="auto"/>
            <w:vAlign w:val="center"/>
            <w:hideMark/>
          </w:tcPr>
          <w:p w14:paraId="48544FF5" w14:textId="77777777" w:rsidR="00244A22" w:rsidRPr="00D34CEC" w:rsidRDefault="00244A22" w:rsidP="00117458"/>
        </w:tc>
        <w:tc>
          <w:tcPr>
            <w:tcW w:w="0" w:type="auto"/>
            <w:vAlign w:val="center"/>
            <w:hideMark/>
          </w:tcPr>
          <w:p w14:paraId="658C360E" w14:textId="77777777" w:rsidR="00244A22" w:rsidRPr="00D34CEC" w:rsidRDefault="00244A22" w:rsidP="00117458">
            <w:r w:rsidRPr="00D34CEC">
              <w:t>No</w:t>
            </w:r>
          </w:p>
        </w:tc>
        <w:tc>
          <w:tcPr>
            <w:tcW w:w="0" w:type="auto"/>
            <w:vAlign w:val="center"/>
            <w:hideMark/>
          </w:tcPr>
          <w:p w14:paraId="4F029EF0" w14:textId="77777777" w:rsidR="00244A22" w:rsidRPr="00D34CEC" w:rsidRDefault="00244A22" w:rsidP="00117458">
            <w:r w:rsidRPr="00D34CEC">
              <w:t>3</w:t>
            </w:r>
          </w:p>
        </w:tc>
        <w:tc>
          <w:tcPr>
            <w:tcW w:w="0" w:type="auto"/>
            <w:vAlign w:val="center"/>
            <w:hideMark/>
          </w:tcPr>
          <w:p w14:paraId="32982D96" w14:textId="77777777" w:rsidR="00244A22" w:rsidRPr="00D34CEC" w:rsidRDefault="00244A22" w:rsidP="00117458">
            <w:r w:rsidRPr="00D34CEC">
              <w:t>9%</w:t>
            </w:r>
          </w:p>
        </w:tc>
        <w:tc>
          <w:tcPr>
            <w:tcW w:w="0" w:type="auto"/>
            <w:vAlign w:val="center"/>
            <w:hideMark/>
          </w:tcPr>
          <w:p w14:paraId="1319A983" w14:textId="77777777" w:rsidR="00244A22" w:rsidRPr="00D34CEC" w:rsidRDefault="00244A22" w:rsidP="00117458">
            <w:r w:rsidRPr="00D34CEC">
              <w:t>10</w:t>
            </w:r>
          </w:p>
        </w:tc>
        <w:tc>
          <w:tcPr>
            <w:tcW w:w="0" w:type="auto"/>
            <w:vAlign w:val="center"/>
            <w:hideMark/>
          </w:tcPr>
          <w:p w14:paraId="5A88CE25" w14:textId="77777777" w:rsidR="00244A22" w:rsidRPr="00D34CEC" w:rsidRDefault="00244A22" w:rsidP="00117458">
            <w:r w:rsidRPr="00D34CEC">
              <w:t>13%</w:t>
            </w:r>
          </w:p>
        </w:tc>
      </w:tr>
      <w:tr w:rsidR="0096564C" w:rsidRPr="00D34CEC" w14:paraId="7B2FB2EE" w14:textId="77777777" w:rsidTr="00117458">
        <w:trPr>
          <w:tblCellSpacing w:w="15" w:type="dxa"/>
        </w:trPr>
        <w:tc>
          <w:tcPr>
            <w:tcW w:w="0" w:type="auto"/>
            <w:vAlign w:val="center"/>
            <w:hideMark/>
          </w:tcPr>
          <w:p w14:paraId="75F30BEB" w14:textId="77777777" w:rsidR="00244A22" w:rsidRPr="00D34CEC" w:rsidRDefault="00244A22" w:rsidP="00117458">
            <w:r w:rsidRPr="00D34CEC">
              <w:rPr>
                <w:b/>
                <w:bCs/>
              </w:rPr>
              <w:t>Capacity to Take on Responsibilities</w:t>
            </w:r>
          </w:p>
        </w:tc>
        <w:tc>
          <w:tcPr>
            <w:tcW w:w="0" w:type="auto"/>
            <w:vAlign w:val="center"/>
            <w:hideMark/>
          </w:tcPr>
          <w:p w14:paraId="081D1C47" w14:textId="77777777" w:rsidR="00244A22" w:rsidRPr="00D34CEC" w:rsidRDefault="00244A22" w:rsidP="00117458">
            <w:r w:rsidRPr="00D34CEC">
              <w:t>Yes, we have the staff, skills, and funding</w:t>
            </w:r>
          </w:p>
        </w:tc>
        <w:tc>
          <w:tcPr>
            <w:tcW w:w="0" w:type="auto"/>
            <w:vAlign w:val="center"/>
            <w:hideMark/>
          </w:tcPr>
          <w:p w14:paraId="5FD28477" w14:textId="77777777" w:rsidR="00244A22" w:rsidRPr="00D34CEC" w:rsidRDefault="00244A22" w:rsidP="00117458">
            <w:r w:rsidRPr="00D34CEC">
              <w:t>1</w:t>
            </w:r>
          </w:p>
        </w:tc>
        <w:tc>
          <w:tcPr>
            <w:tcW w:w="0" w:type="auto"/>
            <w:vAlign w:val="center"/>
            <w:hideMark/>
          </w:tcPr>
          <w:p w14:paraId="2A30BDAC" w14:textId="77777777" w:rsidR="00244A22" w:rsidRPr="00D34CEC" w:rsidRDefault="00244A22" w:rsidP="00117458">
            <w:r w:rsidRPr="00D34CEC">
              <w:t>3%</w:t>
            </w:r>
          </w:p>
        </w:tc>
        <w:tc>
          <w:tcPr>
            <w:tcW w:w="0" w:type="auto"/>
            <w:vAlign w:val="center"/>
            <w:hideMark/>
          </w:tcPr>
          <w:p w14:paraId="2AE92D4D" w14:textId="77777777" w:rsidR="00244A22" w:rsidRPr="00D34CEC" w:rsidRDefault="00244A22" w:rsidP="00117458">
            <w:r w:rsidRPr="00D34CEC">
              <w:t>3</w:t>
            </w:r>
          </w:p>
        </w:tc>
        <w:tc>
          <w:tcPr>
            <w:tcW w:w="0" w:type="auto"/>
            <w:vAlign w:val="center"/>
            <w:hideMark/>
          </w:tcPr>
          <w:p w14:paraId="4E7BB731" w14:textId="77777777" w:rsidR="00244A22" w:rsidRPr="00D34CEC" w:rsidRDefault="00244A22" w:rsidP="00117458">
            <w:r w:rsidRPr="00D34CEC">
              <w:t>4%</w:t>
            </w:r>
          </w:p>
        </w:tc>
      </w:tr>
      <w:tr w:rsidR="0096564C" w:rsidRPr="00D34CEC" w14:paraId="7CFE5DC8" w14:textId="77777777" w:rsidTr="00117458">
        <w:trPr>
          <w:tblCellSpacing w:w="15" w:type="dxa"/>
        </w:trPr>
        <w:tc>
          <w:tcPr>
            <w:tcW w:w="0" w:type="auto"/>
            <w:vAlign w:val="center"/>
            <w:hideMark/>
          </w:tcPr>
          <w:p w14:paraId="6FF05662" w14:textId="77777777" w:rsidR="00244A22" w:rsidRPr="00D34CEC" w:rsidRDefault="00244A22" w:rsidP="00117458"/>
        </w:tc>
        <w:tc>
          <w:tcPr>
            <w:tcW w:w="0" w:type="auto"/>
            <w:vAlign w:val="center"/>
            <w:hideMark/>
          </w:tcPr>
          <w:p w14:paraId="722EEC9A" w14:textId="77777777" w:rsidR="00244A22" w:rsidRPr="00D34CEC" w:rsidRDefault="00244A22" w:rsidP="00117458">
            <w:r w:rsidRPr="00D34CEC">
              <w:t>Yes, but only with additional support</w:t>
            </w:r>
          </w:p>
        </w:tc>
        <w:tc>
          <w:tcPr>
            <w:tcW w:w="0" w:type="auto"/>
            <w:vAlign w:val="center"/>
            <w:hideMark/>
          </w:tcPr>
          <w:p w14:paraId="0D37CBA8" w14:textId="77777777" w:rsidR="00244A22" w:rsidRPr="00D34CEC" w:rsidRDefault="00244A22" w:rsidP="00117458">
            <w:r w:rsidRPr="00D34CEC">
              <w:t>20</w:t>
            </w:r>
          </w:p>
        </w:tc>
        <w:tc>
          <w:tcPr>
            <w:tcW w:w="0" w:type="auto"/>
            <w:vAlign w:val="center"/>
            <w:hideMark/>
          </w:tcPr>
          <w:p w14:paraId="308C9B50" w14:textId="77777777" w:rsidR="00244A22" w:rsidRPr="00D34CEC" w:rsidRDefault="00244A22" w:rsidP="00117458">
            <w:r w:rsidRPr="00D34CEC">
              <w:t>59%</w:t>
            </w:r>
          </w:p>
        </w:tc>
        <w:tc>
          <w:tcPr>
            <w:tcW w:w="0" w:type="auto"/>
            <w:vAlign w:val="center"/>
            <w:hideMark/>
          </w:tcPr>
          <w:p w14:paraId="1D2F1725" w14:textId="77777777" w:rsidR="00244A22" w:rsidRPr="00D34CEC" w:rsidRDefault="00244A22" w:rsidP="00117458">
            <w:r w:rsidRPr="00D34CEC">
              <w:t>41</w:t>
            </w:r>
          </w:p>
        </w:tc>
        <w:tc>
          <w:tcPr>
            <w:tcW w:w="0" w:type="auto"/>
            <w:vAlign w:val="center"/>
            <w:hideMark/>
          </w:tcPr>
          <w:p w14:paraId="32979A11" w14:textId="77777777" w:rsidR="00244A22" w:rsidRPr="00D34CEC" w:rsidRDefault="00244A22" w:rsidP="00117458">
            <w:r w:rsidRPr="00D34CEC">
              <w:t>55%</w:t>
            </w:r>
          </w:p>
        </w:tc>
      </w:tr>
      <w:tr w:rsidR="0096564C" w:rsidRPr="00D34CEC" w14:paraId="1A13E7CC" w14:textId="77777777" w:rsidTr="00117458">
        <w:trPr>
          <w:tblCellSpacing w:w="15" w:type="dxa"/>
        </w:trPr>
        <w:tc>
          <w:tcPr>
            <w:tcW w:w="0" w:type="auto"/>
            <w:vAlign w:val="center"/>
            <w:hideMark/>
          </w:tcPr>
          <w:p w14:paraId="4560B92B" w14:textId="77777777" w:rsidR="00244A22" w:rsidRPr="00D34CEC" w:rsidRDefault="00244A22" w:rsidP="00117458"/>
        </w:tc>
        <w:tc>
          <w:tcPr>
            <w:tcW w:w="0" w:type="auto"/>
            <w:vAlign w:val="center"/>
            <w:hideMark/>
          </w:tcPr>
          <w:p w14:paraId="2AAC75AC" w14:textId="77777777" w:rsidR="00244A22" w:rsidRPr="00D34CEC" w:rsidRDefault="00244A22" w:rsidP="00117458">
            <w:r w:rsidRPr="00D34CEC">
              <w:t>No, we do not currently have capacity</w:t>
            </w:r>
          </w:p>
        </w:tc>
        <w:tc>
          <w:tcPr>
            <w:tcW w:w="0" w:type="auto"/>
            <w:vAlign w:val="center"/>
            <w:hideMark/>
          </w:tcPr>
          <w:p w14:paraId="352B132A" w14:textId="77777777" w:rsidR="00244A22" w:rsidRPr="00D34CEC" w:rsidRDefault="00244A22" w:rsidP="00117458">
            <w:r w:rsidRPr="00D34CEC">
              <w:t>13</w:t>
            </w:r>
          </w:p>
        </w:tc>
        <w:tc>
          <w:tcPr>
            <w:tcW w:w="0" w:type="auto"/>
            <w:vAlign w:val="center"/>
            <w:hideMark/>
          </w:tcPr>
          <w:p w14:paraId="508AF744" w14:textId="77777777" w:rsidR="00244A22" w:rsidRPr="00D34CEC" w:rsidRDefault="00244A22" w:rsidP="00117458">
            <w:r w:rsidRPr="00D34CEC">
              <w:t>38%</w:t>
            </w:r>
          </w:p>
        </w:tc>
        <w:tc>
          <w:tcPr>
            <w:tcW w:w="0" w:type="auto"/>
            <w:vAlign w:val="center"/>
            <w:hideMark/>
          </w:tcPr>
          <w:p w14:paraId="7E3CD0B4" w14:textId="77777777" w:rsidR="00244A22" w:rsidRPr="00D34CEC" w:rsidRDefault="00244A22" w:rsidP="00117458">
            <w:r w:rsidRPr="00D34CEC">
              <w:t>31</w:t>
            </w:r>
          </w:p>
        </w:tc>
        <w:tc>
          <w:tcPr>
            <w:tcW w:w="0" w:type="auto"/>
            <w:vAlign w:val="center"/>
            <w:hideMark/>
          </w:tcPr>
          <w:p w14:paraId="7E1F83E5" w14:textId="77777777" w:rsidR="00244A22" w:rsidRPr="00D34CEC" w:rsidRDefault="00244A22" w:rsidP="00117458">
            <w:r w:rsidRPr="00D34CEC">
              <w:t>41%</w:t>
            </w:r>
          </w:p>
        </w:tc>
      </w:tr>
      <w:tr w:rsidR="0096564C" w:rsidRPr="00D34CEC" w14:paraId="2967BDD3" w14:textId="77777777" w:rsidTr="00117458">
        <w:trPr>
          <w:tblCellSpacing w:w="15" w:type="dxa"/>
        </w:trPr>
        <w:tc>
          <w:tcPr>
            <w:tcW w:w="0" w:type="auto"/>
            <w:vAlign w:val="center"/>
            <w:hideMark/>
          </w:tcPr>
          <w:p w14:paraId="08B03D7A" w14:textId="77777777" w:rsidR="00244A22" w:rsidRPr="00D34CEC" w:rsidRDefault="00244A22" w:rsidP="00117458">
            <w:r w:rsidRPr="00D34CEC">
              <w:rPr>
                <w:b/>
                <w:bCs/>
              </w:rPr>
              <w:t>Concern About Financial Impact</w:t>
            </w:r>
          </w:p>
        </w:tc>
        <w:tc>
          <w:tcPr>
            <w:tcW w:w="0" w:type="auto"/>
            <w:vAlign w:val="center"/>
            <w:hideMark/>
          </w:tcPr>
          <w:p w14:paraId="6C3325EB" w14:textId="77777777" w:rsidR="00244A22" w:rsidRPr="00D34CEC" w:rsidRDefault="00244A22" w:rsidP="00117458">
            <w:r w:rsidRPr="00D34CEC">
              <w:t>Very concerned</w:t>
            </w:r>
          </w:p>
        </w:tc>
        <w:tc>
          <w:tcPr>
            <w:tcW w:w="0" w:type="auto"/>
            <w:vAlign w:val="center"/>
            <w:hideMark/>
          </w:tcPr>
          <w:p w14:paraId="014295D8" w14:textId="77777777" w:rsidR="00244A22" w:rsidRPr="00D34CEC" w:rsidRDefault="00244A22" w:rsidP="00117458">
            <w:r w:rsidRPr="00D34CEC">
              <w:t>16</w:t>
            </w:r>
          </w:p>
        </w:tc>
        <w:tc>
          <w:tcPr>
            <w:tcW w:w="0" w:type="auto"/>
            <w:vAlign w:val="center"/>
            <w:hideMark/>
          </w:tcPr>
          <w:p w14:paraId="727B417A" w14:textId="77777777" w:rsidR="00244A22" w:rsidRPr="00D34CEC" w:rsidRDefault="00244A22" w:rsidP="00117458">
            <w:r w:rsidRPr="00D34CEC">
              <w:t>47%</w:t>
            </w:r>
          </w:p>
        </w:tc>
        <w:tc>
          <w:tcPr>
            <w:tcW w:w="0" w:type="auto"/>
            <w:vAlign w:val="center"/>
            <w:hideMark/>
          </w:tcPr>
          <w:p w14:paraId="7D8BE67F" w14:textId="77777777" w:rsidR="00244A22" w:rsidRPr="00D34CEC" w:rsidRDefault="00244A22" w:rsidP="00117458">
            <w:r w:rsidRPr="00D34CEC">
              <w:t>36</w:t>
            </w:r>
          </w:p>
        </w:tc>
        <w:tc>
          <w:tcPr>
            <w:tcW w:w="0" w:type="auto"/>
            <w:vAlign w:val="center"/>
            <w:hideMark/>
          </w:tcPr>
          <w:p w14:paraId="7B168135" w14:textId="77777777" w:rsidR="00244A22" w:rsidRPr="00D34CEC" w:rsidRDefault="00244A22" w:rsidP="00117458">
            <w:r w:rsidRPr="00D34CEC">
              <w:t>48%</w:t>
            </w:r>
          </w:p>
        </w:tc>
      </w:tr>
      <w:tr w:rsidR="0096564C" w:rsidRPr="00D34CEC" w14:paraId="7FB6B6E1" w14:textId="77777777" w:rsidTr="00117458">
        <w:trPr>
          <w:tblCellSpacing w:w="15" w:type="dxa"/>
        </w:trPr>
        <w:tc>
          <w:tcPr>
            <w:tcW w:w="0" w:type="auto"/>
            <w:vAlign w:val="center"/>
            <w:hideMark/>
          </w:tcPr>
          <w:p w14:paraId="0BEA0CF7" w14:textId="77777777" w:rsidR="00244A22" w:rsidRPr="00D34CEC" w:rsidRDefault="00244A22" w:rsidP="00117458"/>
        </w:tc>
        <w:tc>
          <w:tcPr>
            <w:tcW w:w="0" w:type="auto"/>
            <w:vAlign w:val="center"/>
            <w:hideMark/>
          </w:tcPr>
          <w:p w14:paraId="2D0013E2" w14:textId="77777777" w:rsidR="00244A22" w:rsidRPr="00D34CEC" w:rsidRDefault="00244A22" w:rsidP="00117458">
            <w:r w:rsidRPr="00D34CEC">
              <w:t>Somewhat concerned</w:t>
            </w:r>
          </w:p>
        </w:tc>
        <w:tc>
          <w:tcPr>
            <w:tcW w:w="0" w:type="auto"/>
            <w:vAlign w:val="center"/>
            <w:hideMark/>
          </w:tcPr>
          <w:p w14:paraId="770788C2" w14:textId="77777777" w:rsidR="00244A22" w:rsidRPr="00D34CEC" w:rsidRDefault="00244A22" w:rsidP="00117458">
            <w:r w:rsidRPr="00D34CEC">
              <w:t>16</w:t>
            </w:r>
          </w:p>
        </w:tc>
        <w:tc>
          <w:tcPr>
            <w:tcW w:w="0" w:type="auto"/>
            <w:vAlign w:val="center"/>
            <w:hideMark/>
          </w:tcPr>
          <w:p w14:paraId="77167B80" w14:textId="77777777" w:rsidR="00244A22" w:rsidRPr="00D34CEC" w:rsidRDefault="00244A22" w:rsidP="00117458">
            <w:r w:rsidRPr="00D34CEC">
              <w:t>47%</w:t>
            </w:r>
          </w:p>
        </w:tc>
        <w:tc>
          <w:tcPr>
            <w:tcW w:w="0" w:type="auto"/>
            <w:vAlign w:val="center"/>
            <w:hideMark/>
          </w:tcPr>
          <w:p w14:paraId="348CD59C" w14:textId="77777777" w:rsidR="00244A22" w:rsidRPr="00D34CEC" w:rsidRDefault="00244A22" w:rsidP="00117458">
            <w:r w:rsidRPr="00D34CEC">
              <w:t>34</w:t>
            </w:r>
          </w:p>
        </w:tc>
        <w:tc>
          <w:tcPr>
            <w:tcW w:w="0" w:type="auto"/>
            <w:vAlign w:val="center"/>
            <w:hideMark/>
          </w:tcPr>
          <w:p w14:paraId="19EBA21B" w14:textId="77777777" w:rsidR="00244A22" w:rsidRPr="00D34CEC" w:rsidRDefault="00244A22" w:rsidP="00117458">
            <w:r w:rsidRPr="00D34CEC">
              <w:t>45%</w:t>
            </w:r>
          </w:p>
        </w:tc>
      </w:tr>
      <w:tr w:rsidR="0096564C" w:rsidRPr="00D34CEC" w14:paraId="1C4E5AEE" w14:textId="77777777" w:rsidTr="00117458">
        <w:trPr>
          <w:tblCellSpacing w:w="15" w:type="dxa"/>
        </w:trPr>
        <w:tc>
          <w:tcPr>
            <w:tcW w:w="0" w:type="auto"/>
            <w:vAlign w:val="center"/>
            <w:hideMark/>
          </w:tcPr>
          <w:p w14:paraId="1F92C41C" w14:textId="77777777" w:rsidR="00244A22" w:rsidRPr="00D34CEC" w:rsidRDefault="00244A22" w:rsidP="00117458"/>
        </w:tc>
        <w:tc>
          <w:tcPr>
            <w:tcW w:w="0" w:type="auto"/>
            <w:vAlign w:val="center"/>
            <w:hideMark/>
          </w:tcPr>
          <w:p w14:paraId="5C7A2F13" w14:textId="77777777" w:rsidR="00244A22" w:rsidRPr="00D34CEC" w:rsidRDefault="00244A22" w:rsidP="00117458">
            <w:r w:rsidRPr="00D34CEC">
              <w:t>Not very concerned</w:t>
            </w:r>
          </w:p>
        </w:tc>
        <w:tc>
          <w:tcPr>
            <w:tcW w:w="0" w:type="auto"/>
            <w:vAlign w:val="center"/>
            <w:hideMark/>
          </w:tcPr>
          <w:p w14:paraId="566CE1FD" w14:textId="77777777" w:rsidR="00244A22" w:rsidRPr="00D34CEC" w:rsidRDefault="00244A22" w:rsidP="00117458">
            <w:r w:rsidRPr="00D34CEC">
              <w:t>1</w:t>
            </w:r>
          </w:p>
        </w:tc>
        <w:tc>
          <w:tcPr>
            <w:tcW w:w="0" w:type="auto"/>
            <w:vAlign w:val="center"/>
            <w:hideMark/>
          </w:tcPr>
          <w:p w14:paraId="2A268AF1" w14:textId="77777777" w:rsidR="00244A22" w:rsidRPr="00D34CEC" w:rsidRDefault="00244A22" w:rsidP="00117458">
            <w:r w:rsidRPr="00D34CEC">
              <w:t>3%</w:t>
            </w:r>
          </w:p>
        </w:tc>
        <w:tc>
          <w:tcPr>
            <w:tcW w:w="0" w:type="auto"/>
            <w:vAlign w:val="center"/>
            <w:hideMark/>
          </w:tcPr>
          <w:p w14:paraId="23AD05D6" w14:textId="77777777" w:rsidR="00244A22" w:rsidRPr="00D34CEC" w:rsidRDefault="00244A22" w:rsidP="00117458">
            <w:r w:rsidRPr="00D34CEC">
              <w:t>3</w:t>
            </w:r>
          </w:p>
        </w:tc>
        <w:tc>
          <w:tcPr>
            <w:tcW w:w="0" w:type="auto"/>
            <w:vAlign w:val="center"/>
            <w:hideMark/>
          </w:tcPr>
          <w:p w14:paraId="3FC5A4C1" w14:textId="77777777" w:rsidR="00244A22" w:rsidRPr="00D34CEC" w:rsidRDefault="00244A22" w:rsidP="00117458">
            <w:r w:rsidRPr="00D34CEC">
              <w:t>4%</w:t>
            </w:r>
          </w:p>
        </w:tc>
      </w:tr>
      <w:tr w:rsidR="0096564C" w:rsidRPr="00D34CEC" w14:paraId="37EBA26C" w14:textId="77777777" w:rsidTr="00117458">
        <w:trPr>
          <w:tblCellSpacing w:w="15" w:type="dxa"/>
        </w:trPr>
        <w:tc>
          <w:tcPr>
            <w:tcW w:w="0" w:type="auto"/>
            <w:vAlign w:val="center"/>
            <w:hideMark/>
          </w:tcPr>
          <w:p w14:paraId="050315A3" w14:textId="77777777" w:rsidR="00244A22" w:rsidRPr="00D34CEC" w:rsidRDefault="00244A22" w:rsidP="00117458"/>
        </w:tc>
        <w:tc>
          <w:tcPr>
            <w:tcW w:w="0" w:type="auto"/>
            <w:vAlign w:val="center"/>
            <w:hideMark/>
          </w:tcPr>
          <w:p w14:paraId="6261B207" w14:textId="77777777" w:rsidR="00244A22" w:rsidRPr="00D34CEC" w:rsidRDefault="00244A22" w:rsidP="00117458">
            <w:r w:rsidRPr="00D34CEC">
              <w:t>Not concerned at all</w:t>
            </w:r>
          </w:p>
        </w:tc>
        <w:tc>
          <w:tcPr>
            <w:tcW w:w="0" w:type="auto"/>
            <w:vAlign w:val="center"/>
            <w:hideMark/>
          </w:tcPr>
          <w:p w14:paraId="58F7B000" w14:textId="77777777" w:rsidR="00244A22" w:rsidRPr="00D34CEC" w:rsidRDefault="00244A22" w:rsidP="00117458">
            <w:r w:rsidRPr="00D34CEC">
              <w:t>1</w:t>
            </w:r>
          </w:p>
        </w:tc>
        <w:tc>
          <w:tcPr>
            <w:tcW w:w="0" w:type="auto"/>
            <w:vAlign w:val="center"/>
            <w:hideMark/>
          </w:tcPr>
          <w:p w14:paraId="3127DAB3" w14:textId="77777777" w:rsidR="00244A22" w:rsidRPr="00D34CEC" w:rsidRDefault="00244A22" w:rsidP="00117458">
            <w:r w:rsidRPr="00D34CEC">
              <w:t>3%</w:t>
            </w:r>
          </w:p>
        </w:tc>
        <w:tc>
          <w:tcPr>
            <w:tcW w:w="0" w:type="auto"/>
            <w:vAlign w:val="center"/>
            <w:hideMark/>
          </w:tcPr>
          <w:p w14:paraId="60FDD1AD" w14:textId="77777777" w:rsidR="00244A22" w:rsidRPr="00D34CEC" w:rsidRDefault="00244A22" w:rsidP="00117458">
            <w:r w:rsidRPr="00D34CEC">
              <w:t>2</w:t>
            </w:r>
          </w:p>
        </w:tc>
        <w:tc>
          <w:tcPr>
            <w:tcW w:w="0" w:type="auto"/>
            <w:vAlign w:val="center"/>
            <w:hideMark/>
          </w:tcPr>
          <w:p w14:paraId="0461D316" w14:textId="77777777" w:rsidR="00244A22" w:rsidRPr="00D34CEC" w:rsidRDefault="00244A22" w:rsidP="00117458">
            <w:r w:rsidRPr="00D34CEC">
              <w:t>3%</w:t>
            </w:r>
          </w:p>
        </w:tc>
      </w:tr>
      <w:tr w:rsidR="0096564C" w:rsidRPr="00D34CEC" w14:paraId="668F518D" w14:textId="77777777" w:rsidTr="00117458">
        <w:trPr>
          <w:tblCellSpacing w:w="15" w:type="dxa"/>
        </w:trPr>
        <w:tc>
          <w:tcPr>
            <w:tcW w:w="0" w:type="auto"/>
            <w:vAlign w:val="center"/>
            <w:hideMark/>
          </w:tcPr>
          <w:p w14:paraId="65C2E23F" w14:textId="77777777" w:rsidR="00244A22" w:rsidRPr="00D34CEC" w:rsidRDefault="00244A22" w:rsidP="00117458">
            <w:r w:rsidRPr="00D34CEC">
              <w:rPr>
                <w:b/>
                <w:bCs/>
              </w:rPr>
              <w:t>Willingness to Raise Precept</w:t>
            </w:r>
          </w:p>
        </w:tc>
        <w:tc>
          <w:tcPr>
            <w:tcW w:w="0" w:type="auto"/>
            <w:vAlign w:val="center"/>
            <w:hideMark/>
          </w:tcPr>
          <w:p w14:paraId="006E8300" w14:textId="77777777" w:rsidR="00244A22" w:rsidRPr="00D34CEC" w:rsidRDefault="00244A22" w:rsidP="00117458">
            <w:r w:rsidRPr="00D34CEC">
              <w:t>Yes</w:t>
            </w:r>
          </w:p>
        </w:tc>
        <w:tc>
          <w:tcPr>
            <w:tcW w:w="0" w:type="auto"/>
            <w:vAlign w:val="center"/>
            <w:hideMark/>
          </w:tcPr>
          <w:p w14:paraId="2AA450FF" w14:textId="77777777" w:rsidR="00244A22" w:rsidRPr="00D34CEC" w:rsidRDefault="00244A22" w:rsidP="00117458">
            <w:r w:rsidRPr="00D34CEC">
              <w:t>9</w:t>
            </w:r>
          </w:p>
        </w:tc>
        <w:tc>
          <w:tcPr>
            <w:tcW w:w="0" w:type="auto"/>
            <w:vAlign w:val="center"/>
            <w:hideMark/>
          </w:tcPr>
          <w:p w14:paraId="7CC410BD" w14:textId="77777777" w:rsidR="00244A22" w:rsidRPr="00D34CEC" w:rsidRDefault="00244A22" w:rsidP="00117458">
            <w:r w:rsidRPr="00D34CEC">
              <w:t>26%</w:t>
            </w:r>
          </w:p>
        </w:tc>
        <w:tc>
          <w:tcPr>
            <w:tcW w:w="0" w:type="auto"/>
            <w:vAlign w:val="center"/>
            <w:hideMark/>
          </w:tcPr>
          <w:p w14:paraId="08C320A8" w14:textId="77777777" w:rsidR="00244A22" w:rsidRPr="00D34CEC" w:rsidRDefault="00244A22" w:rsidP="00117458">
            <w:r w:rsidRPr="00D34CEC">
              <w:t>15</w:t>
            </w:r>
          </w:p>
        </w:tc>
        <w:tc>
          <w:tcPr>
            <w:tcW w:w="0" w:type="auto"/>
            <w:vAlign w:val="center"/>
            <w:hideMark/>
          </w:tcPr>
          <w:p w14:paraId="40C87DCF" w14:textId="77777777" w:rsidR="00244A22" w:rsidRPr="00D34CEC" w:rsidRDefault="00244A22" w:rsidP="00117458">
            <w:r w:rsidRPr="00D34CEC">
              <w:t>20%</w:t>
            </w:r>
          </w:p>
        </w:tc>
      </w:tr>
      <w:tr w:rsidR="0096564C" w:rsidRPr="00D34CEC" w14:paraId="56B2F576" w14:textId="77777777" w:rsidTr="00117458">
        <w:trPr>
          <w:tblCellSpacing w:w="15" w:type="dxa"/>
        </w:trPr>
        <w:tc>
          <w:tcPr>
            <w:tcW w:w="0" w:type="auto"/>
            <w:vAlign w:val="center"/>
            <w:hideMark/>
          </w:tcPr>
          <w:p w14:paraId="233888E2" w14:textId="77777777" w:rsidR="00244A22" w:rsidRPr="00D34CEC" w:rsidRDefault="00244A22" w:rsidP="00117458"/>
        </w:tc>
        <w:tc>
          <w:tcPr>
            <w:tcW w:w="0" w:type="auto"/>
            <w:vAlign w:val="center"/>
            <w:hideMark/>
          </w:tcPr>
          <w:p w14:paraId="4AE806D7" w14:textId="77777777" w:rsidR="00244A22" w:rsidRPr="00D34CEC" w:rsidRDefault="00244A22" w:rsidP="00117458">
            <w:r w:rsidRPr="00D34CEC">
              <w:t>Not sure</w:t>
            </w:r>
          </w:p>
        </w:tc>
        <w:tc>
          <w:tcPr>
            <w:tcW w:w="0" w:type="auto"/>
            <w:vAlign w:val="center"/>
            <w:hideMark/>
          </w:tcPr>
          <w:p w14:paraId="425B3D8C" w14:textId="77777777" w:rsidR="00244A22" w:rsidRPr="00D34CEC" w:rsidRDefault="00244A22" w:rsidP="00117458">
            <w:r w:rsidRPr="00D34CEC">
              <w:t>17</w:t>
            </w:r>
          </w:p>
        </w:tc>
        <w:tc>
          <w:tcPr>
            <w:tcW w:w="0" w:type="auto"/>
            <w:vAlign w:val="center"/>
            <w:hideMark/>
          </w:tcPr>
          <w:p w14:paraId="4154FCB9" w14:textId="77777777" w:rsidR="00244A22" w:rsidRPr="00D34CEC" w:rsidRDefault="00244A22" w:rsidP="00117458">
            <w:r w:rsidRPr="00D34CEC">
              <w:t>50%</w:t>
            </w:r>
          </w:p>
        </w:tc>
        <w:tc>
          <w:tcPr>
            <w:tcW w:w="0" w:type="auto"/>
            <w:vAlign w:val="center"/>
            <w:hideMark/>
          </w:tcPr>
          <w:p w14:paraId="74702F61" w14:textId="77777777" w:rsidR="00244A22" w:rsidRPr="00D34CEC" w:rsidRDefault="00244A22" w:rsidP="00117458">
            <w:r w:rsidRPr="00D34CEC">
              <w:t>40</w:t>
            </w:r>
          </w:p>
        </w:tc>
        <w:tc>
          <w:tcPr>
            <w:tcW w:w="0" w:type="auto"/>
            <w:vAlign w:val="center"/>
            <w:hideMark/>
          </w:tcPr>
          <w:p w14:paraId="0ED684D7" w14:textId="77777777" w:rsidR="00244A22" w:rsidRPr="00D34CEC" w:rsidRDefault="00244A22" w:rsidP="00117458">
            <w:r w:rsidRPr="00D34CEC">
              <w:t>53%</w:t>
            </w:r>
          </w:p>
        </w:tc>
      </w:tr>
      <w:tr w:rsidR="0096564C" w:rsidRPr="00D34CEC" w14:paraId="6EFCBD2C" w14:textId="77777777" w:rsidTr="00117458">
        <w:trPr>
          <w:tblCellSpacing w:w="15" w:type="dxa"/>
        </w:trPr>
        <w:tc>
          <w:tcPr>
            <w:tcW w:w="0" w:type="auto"/>
            <w:vAlign w:val="center"/>
            <w:hideMark/>
          </w:tcPr>
          <w:p w14:paraId="2A7F830A" w14:textId="77777777" w:rsidR="00244A22" w:rsidRPr="00D34CEC" w:rsidRDefault="00244A22" w:rsidP="00117458"/>
        </w:tc>
        <w:tc>
          <w:tcPr>
            <w:tcW w:w="0" w:type="auto"/>
            <w:vAlign w:val="center"/>
            <w:hideMark/>
          </w:tcPr>
          <w:p w14:paraId="78D2E1EF" w14:textId="77777777" w:rsidR="00244A22" w:rsidRPr="00D34CEC" w:rsidRDefault="00244A22" w:rsidP="00117458">
            <w:r w:rsidRPr="00D34CEC">
              <w:t>No</w:t>
            </w:r>
          </w:p>
        </w:tc>
        <w:tc>
          <w:tcPr>
            <w:tcW w:w="0" w:type="auto"/>
            <w:vAlign w:val="center"/>
            <w:hideMark/>
          </w:tcPr>
          <w:p w14:paraId="4D327CB8" w14:textId="77777777" w:rsidR="00244A22" w:rsidRPr="00D34CEC" w:rsidRDefault="00244A22" w:rsidP="00117458">
            <w:r w:rsidRPr="00D34CEC">
              <w:t>6</w:t>
            </w:r>
          </w:p>
        </w:tc>
        <w:tc>
          <w:tcPr>
            <w:tcW w:w="0" w:type="auto"/>
            <w:vAlign w:val="center"/>
            <w:hideMark/>
          </w:tcPr>
          <w:p w14:paraId="24E77217" w14:textId="77777777" w:rsidR="00244A22" w:rsidRPr="00D34CEC" w:rsidRDefault="00244A22" w:rsidP="00117458">
            <w:r w:rsidRPr="00D34CEC">
              <w:t>18%</w:t>
            </w:r>
          </w:p>
        </w:tc>
        <w:tc>
          <w:tcPr>
            <w:tcW w:w="0" w:type="auto"/>
            <w:vAlign w:val="center"/>
            <w:hideMark/>
          </w:tcPr>
          <w:p w14:paraId="5E10AEA0" w14:textId="77777777" w:rsidR="00244A22" w:rsidRPr="00D34CEC" w:rsidRDefault="00244A22" w:rsidP="00117458">
            <w:r w:rsidRPr="00D34CEC">
              <w:t>15</w:t>
            </w:r>
          </w:p>
        </w:tc>
        <w:tc>
          <w:tcPr>
            <w:tcW w:w="0" w:type="auto"/>
            <w:vAlign w:val="center"/>
            <w:hideMark/>
          </w:tcPr>
          <w:p w14:paraId="41081AE6" w14:textId="77777777" w:rsidR="00244A22" w:rsidRPr="00D34CEC" w:rsidRDefault="00244A22" w:rsidP="00117458">
            <w:r w:rsidRPr="00D34CEC">
              <w:t>20%</w:t>
            </w:r>
          </w:p>
        </w:tc>
      </w:tr>
      <w:tr w:rsidR="0096564C" w:rsidRPr="00D34CEC" w14:paraId="4D6A6959" w14:textId="77777777" w:rsidTr="00117458">
        <w:trPr>
          <w:tblCellSpacing w:w="15" w:type="dxa"/>
        </w:trPr>
        <w:tc>
          <w:tcPr>
            <w:tcW w:w="0" w:type="auto"/>
            <w:vAlign w:val="center"/>
            <w:hideMark/>
          </w:tcPr>
          <w:p w14:paraId="70F23618" w14:textId="77777777" w:rsidR="00244A22" w:rsidRPr="00D34CEC" w:rsidRDefault="00244A22" w:rsidP="00117458"/>
        </w:tc>
        <w:tc>
          <w:tcPr>
            <w:tcW w:w="0" w:type="auto"/>
            <w:vAlign w:val="center"/>
            <w:hideMark/>
          </w:tcPr>
          <w:p w14:paraId="17123354" w14:textId="77777777" w:rsidR="00244A22" w:rsidRPr="00D34CEC" w:rsidRDefault="00244A22" w:rsidP="00117458">
            <w:r w:rsidRPr="00D34CEC">
              <w:t>Already at financial limit</w:t>
            </w:r>
          </w:p>
        </w:tc>
        <w:tc>
          <w:tcPr>
            <w:tcW w:w="0" w:type="auto"/>
            <w:vAlign w:val="center"/>
            <w:hideMark/>
          </w:tcPr>
          <w:p w14:paraId="3047D3B1" w14:textId="77777777" w:rsidR="00244A22" w:rsidRPr="00D34CEC" w:rsidRDefault="00244A22" w:rsidP="00117458">
            <w:r w:rsidRPr="00D34CEC">
              <w:t>2</w:t>
            </w:r>
          </w:p>
        </w:tc>
        <w:tc>
          <w:tcPr>
            <w:tcW w:w="0" w:type="auto"/>
            <w:vAlign w:val="center"/>
            <w:hideMark/>
          </w:tcPr>
          <w:p w14:paraId="4E90ED4A" w14:textId="77777777" w:rsidR="00244A22" w:rsidRPr="00D34CEC" w:rsidRDefault="00244A22" w:rsidP="00117458">
            <w:r w:rsidRPr="00D34CEC">
              <w:t>6%</w:t>
            </w:r>
          </w:p>
        </w:tc>
        <w:tc>
          <w:tcPr>
            <w:tcW w:w="0" w:type="auto"/>
            <w:vAlign w:val="center"/>
            <w:hideMark/>
          </w:tcPr>
          <w:p w14:paraId="28EC0E5E" w14:textId="77777777" w:rsidR="00244A22" w:rsidRPr="00D34CEC" w:rsidRDefault="00244A22" w:rsidP="00117458">
            <w:r w:rsidRPr="00D34CEC">
              <w:t>5</w:t>
            </w:r>
          </w:p>
        </w:tc>
        <w:tc>
          <w:tcPr>
            <w:tcW w:w="0" w:type="auto"/>
            <w:vAlign w:val="center"/>
            <w:hideMark/>
          </w:tcPr>
          <w:p w14:paraId="02F007DD" w14:textId="77777777" w:rsidR="00244A22" w:rsidRPr="00D34CEC" w:rsidRDefault="00244A22" w:rsidP="00117458">
            <w:r w:rsidRPr="00D34CEC">
              <w:t>7%</w:t>
            </w:r>
          </w:p>
        </w:tc>
      </w:tr>
      <w:tr w:rsidR="0096564C" w:rsidRPr="00D34CEC" w14:paraId="37B88DA2" w14:textId="77777777" w:rsidTr="00117458">
        <w:trPr>
          <w:tblCellSpacing w:w="15" w:type="dxa"/>
        </w:trPr>
        <w:tc>
          <w:tcPr>
            <w:tcW w:w="0" w:type="auto"/>
            <w:vAlign w:val="center"/>
            <w:hideMark/>
          </w:tcPr>
          <w:p w14:paraId="065860CB" w14:textId="77777777" w:rsidR="00244A22" w:rsidRPr="00D34CEC" w:rsidRDefault="00244A22" w:rsidP="00117458">
            <w:r w:rsidRPr="00D34CEC">
              <w:rPr>
                <w:b/>
                <w:bCs/>
              </w:rPr>
              <w:t>Openness to Neighbour Collaboration</w:t>
            </w:r>
          </w:p>
        </w:tc>
        <w:tc>
          <w:tcPr>
            <w:tcW w:w="0" w:type="auto"/>
            <w:vAlign w:val="center"/>
            <w:hideMark/>
          </w:tcPr>
          <w:p w14:paraId="0785ED9E" w14:textId="77777777" w:rsidR="00244A22" w:rsidRPr="00D34CEC" w:rsidRDefault="00244A22" w:rsidP="00117458">
            <w:r w:rsidRPr="00D34CEC">
              <w:t>Yes</w:t>
            </w:r>
          </w:p>
        </w:tc>
        <w:tc>
          <w:tcPr>
            <w:tcW w:w="0" w:type="auto"/>
            <w:vAlign w:val="center"/>
            <w:hideMark/>
          </w:tcPr>
          <w:p w14:paraId="37F97DC5" w14:textId="77777777" w:rsidR="00244A22" w:rsidRPr="00D34CEC" w:rsidRDefault="00244A22" w:rsidP="00117458">
            <w:r w:rsidRPr="00D34CEC">
              <w:t>14</w:t>
            </w:r>
          </w:p>
        </w:tc>
        <w:tc>
          <w:tcPr>
            <w:tcW w:w="0" w:type="auto"/>
            <w:vAlign w:val="center"/>
            <w:hideMark/>
          </w:tcPr>
          <w:p w14:paraId="795AD152" w14:textId="77777777" w:rsidR="00244A22" w:rsidRPr="00D34CEC" w:rsidRDefault="00244A22" w:rsidP="00117458">
            <w:r w:rsidRPr="00D34CEC">
              <w:t>41%</w:t>
            </w:r>
          </w:p>
        </w:tc>
        <w:tc>
          <w:tcPr>
            <w:tcW w:w="0" w:type="auto"/>
            <w:vAlign w:val="center"/>
            <w:hideMark/>
          </w:tcPr>
          <w:p w14:paraId="2C1D2011" w14:textId="77777777" w:rsidR="00244A22" w:rsidRPr="00D34CEC" w:rsidRDefault="00244A22" w:rsidP="00117458">
            <w:r w:rsidRPr="00D34CEC">
              <w:t>28</w:t>
            </w:r>
          </w:p>
        </w:tc>
        <w:tc>
          <w:tcPr>
            <w:tcW w:w="0" w:type="auto"/>
            <w:vAlign w:val="center"/>
            <w:hideMark/>
          </w:tcPr>
          <w:p w14:paraId="7463E797" w14:textId="77777777" w:rsidR="00244A22" w:rsidRPr="00D34CEC" w:rsidRDefault="00244A22" w:rsidP="00117458">
            <w:r w:rsidRPr="00D34CEC">
              <w:t>37%</w:t>
            </w:r>
          </w:p>
        </w:tc>
      </w:tr>
      <w:tr w:rsidR="0096564C" w:rsidRPr="00D34CEC" w14:paraId="76157B2B" w14:textId="77777777" w:rsidTr="00117458">
        <w:trPr>
          <w:tblCellSpacing w:w="15" w:type="dxa"/>
        </w:trPr>
        <w:tc>
          <w:tcPr>
            <w:tcW w:w="0" w:type="auto"/>
            <w:vAlign w:val="center"/>
            <w:hideMark/>
          </w:tcPr>
          <w:p w14:paraId="3E1E4A68" w14:textId="77777777" w:rsidR="00244A22" w:rsidRPr="00D34CEC" w:rsidRDefault="00244A22" w:rsidP="00117458"/>
        </w:tc>
        <w:tc>
          <w:tcPr>
            <w:tcW w:w="0" w:type="auto"/>
            <w:vAlign w:val="center"/>
            <w:hideMark/>
          </w:tcPr>
          <w:p w14:paraId="2B19475B" w14:textId="77777777" w:rsidR="00244A22" w:rsidRPr="00D34CEC" w:rsidRDefault="00244A22" w:rsidP="00117458">
            <w:r w:rsidRPr="00D34CEC">
              <w:t>Possibly</w:t>
            </w:r>
          </w:p>
        </w:tc>
        <w:tc>
          <w:tcPr>
            <w:tcW w:w="0" w:type="auto"/>
            <w:vAlign w:val="center"/>
            <w:hideMark/>
          </w:tcPr>
          <w:p w14:paraId="03D34428" w14:textId="77777777" w:rsidR="00244A22" w:rsidRPr="00D34CEC" w:rsidRDefault="00244A22" w:rsidP="00117458">
            <w:r w:rsidRPr="00D34CEC">
              <w:t>19</w:t>
            </w:r>
          </w:p>
        </w:tc>
        <w:tc>
          <w:tcPr>
            <w:tcW w:w="0" w:type="auto"/>
            <w:vAlign w:val="center"/>
            <w:hideMark/>
          </w:tcPr>
          <w:p w14:paraId="5AEA5AB1" w14:textId="77777777" w:rsidR="00244A22" w:rsidRPr="00D34CEC" w:rsidRDefault="00244A22" w:rsidP="00117458">
            <w:r w:rsidRPr="00D34CEC">
              <w:t>56%</w:t>
            </w:r>
          </w:p>
        </w:tc>
        <w:tc>
          <w:tcPr>
            <w:tcW w:w="0" w:type="auto"/>
            <w:vAlign w:val="center"/>
            <w:hideMark/>
          </w:tcPr>
          <w:p w14:paraId="6BA61FED" w14:textId="77777777" w:rsidR="00244A22" w:rsidRPr="00D34CEC" w:rsidRDefault="00244A22" w:rsidP="00117458">
            <w:r w:rsidRPr="00D34CEC">
              <w:t>46</w:t>
            </w:r>
          </w:p>
        </w:tc>
        <w:tc>
          <w:tcPr>
            <w:tcW w:w="0" w:type="auto"/>
            <w:vAlign w:val="center"/>
            <w:hideMark/>
          </w:tcPr>
          <w:p w14:paraId="5F23A8F4" w14:textId="77777777" w:rsidR="00244A22" w:rsidRPr="00D34CEC" w:rsidRDefault="00244A22" w:rsidP="00117458">
            <w:r w:rsidRPr="00D34CEC">
              <w:t>61%</w:t>
            </w:r>
          </w:p>
        </w:tc>
      </w:tr>
      <w:tr w:rsidR="0096564C" w:rsidRPr="00D34CEC" w14:paraId="2C6D6764" w14:textId="77777777" w:rsidTr="00117458">
        <w:trPr>
          <w:tblCellSpacing w:w="15" w:type="dxa"/>
        </w:trPr>
        <w:tc>
          <w:tcPr>
            <w:tcW w:w="0" w:type="auto"/>
            <w:vAlign w:val="center"/>
            <w:hideMark/>
          </w:tcPr>
          <w:p w14:paraId="31231B5B" w14:textId="77777777" w:rsidR="00244A22" w:rsidRPr="00D34CEC" w:rsidRDefault="00244A22" w:rsidP="00117458"/>
        </w:tc>
        <w:tc>
          <w:tcPr>
            <w:tcW w:w="0" w:type="auto"/>
            <w:vAlign w:val="center"/>
            <w:hideMark/>
          </w:tcPr>
          <w:p w14:paraId="2ADD39EB" w14:textId="77777777" w:rsidR="00244A22" w:rsidRPr="00D34CEC" w:rsidRDefault="00244A22" w:rsidP="00117458">
            <w:r w:rsidRPr="00D34CEC">
              <w:t>No</w:t>
            </w:r>
          </w:p>
        </w:tc>
        <w:tc>
          <w:tcPr>
            <w:tcW w:w="0" w:type="auto"/>
            <w:vAlign w:val="center"/>
            <w:hideMark/>
          </w:tcPr>
          <w:p w14:paraId="0403A745" w14:textId="77777777" w:rsidR="00244A22" w:rsidRPr="00D34CEC" w:rsidRDefault="00244A22" w:rsidP="00117458">
            <w:r w:rsidRPr="00D34CEC">
              <w:t>1</w:t>
            </w:r>
          </w:p>
        </w:tc>
        <w:tc>
          <w:tcPr>
            <w:tcW w:w="0" w:type="auto"/>
            <w:vAlign w:val="center"/>
            <w:hideMark/>
          </w:tcPr>
          <w:p w14:paraId="1B34ACB4" w14:textId="77777777" w:rsidR="00244A22" w:rsidRPr="00D34CEC" w:rsidRDefault="00244A22" w:rsidP="00117458">
            <w:r w:rsidRPr="00D34CEC">
              <w:t>3%</w:t>
            </w:r>
          </w:p>
        </w:tc>
        <w:tc>
          <w:tcPr>
            <w:tcW w:w="0" w:type="auto"/>
            <w:vAlign w:val="center"/>
            <w:hideMark/>
          </w:tcPr>
          <w:p w14:paraId="4ED2366E" w14:textId="77777777" w:rsidR="00244A22" w:rsidRPr="00D34CEC" w:rsidRDefault="00244A22" w:rsidP="00117458">
            <w:r w:rsidRPr="00D34CEC">
              <w:t>1</w:t>
            </w:r>
          </w:p>
        </w:tc>
        <w:tc>
          <w:tcPr>
            <w:tcW w:w="0" w:type="auto"/>
            <w:vAlign w:val="center"/>
            <w:hideMark/>
          </w:tcPr>
          <w:p w14:paraId="717EE6E9" w14:textId="77777777" w:rsidR="00244A22" w:rsidRPr="00D34CEC" w:rsidRDefault="00244A22" w:rsidP="00117458">
            <w:r w:rsidRPr="00D34CEC">
              <w:t>1%</w:t>
            </w:r>
          </w:p>
        </w:tc>
      </w:tr>
      <w:tr w:rsidR="0096564C" w:rsidRPr="00D34CEC" w14:paraId="26DCDA2C" w14:textId="77777777" w:rsidTr="00117458">
        <w:trPr>
          <w:tblCellSpacing w:w="15" w:type="dxa"/>
        </w:trPr>
        <w:tc>
          <w:tcPr>
            <w:tcW w:w="0" w:type="auto"/>
            <w:vAlign w:val="center"/>
            <w:hideMark/>
          </w:tcPr>
          <w:p w14:paraId="7C242CC9" w14:textId="77777777" w:rsidR="00244A22" w:rsidRPr="00D34CEC" w:rsidRDefault="00244A22" w:rsidP="00117458">
            <w:r w:rsidRPr="00D34CEC">
              <w:rPr>
                <w:b/>
                <w:bCs/>
              </w:rPr>
              <w:t>Governance Model Preference</w:t>
            </w:r>
          </w:p>
        </w:tc>
        <w:tc>
          <w:tcPr>
            <w:tcW w:w="0" w:type="auto"/>
            <w:vAlign w:val="center"/>
            <w:hideMark/>
          </w:tcPr>
          <w:p w14:paraId="12D70379" w14:textId="77777777" w:rsidR="00244A22" w:rsidRPr="00D34CEC" w:rsidRDefault="00244A22" w:rsidP="00117458">
            <w:r w:rsidRPr="00D34CEC">
              <w:t>Representation by parish and town councils</w:t>
            </w:r>
          </w:p>
        </w:tc>
        <w:tc>
          <w:tcPr>
            <w:tcW w:w="0" w:type="auto"/>
            <w:vAlign w:val="center"/>
            <w:hideMark/>
          </w:tcPr>
          <w:p w14:paraId="5DACF486" w14:textId="77777777" w:rsidR="00244A22" w:rsidRPr="00D34CEC" w:rsidRDefault="00244A22" w:rsidP="00117458">
            <w:r w:rsidRPr="00D34CEC">
              <w:t>9</w:t>
            </w:r>
          </w:p>
        </w:tc>
        <w:tc>
          <w:tcPr>
            <w:tcW w:w="0" w:type="auto"/>
            <w:vAlign w:val="center"/>
            <w:hideMark/>
          </w:tcPr>
          <w:p w14:paraId="4F2DA207" w14:textId="77777777" w:rsidR="00244A22" w:rsidRPr="00D34CEC" w:rsidRDefault="00244A22" w:rsidP="00117458">
            <w:r w:rsidRPr="00D34CEC">
              <w:t>26%</w:t>
            </w:r>
          </w:p>
        </w:tc>
        <w:tc>
          <w:tcPr>
            <w:tcW w:w="0" w:type="auto"/>
            <w:vAlign w:val="center"/>
            <w:hideMark/>
          </w:tcPr>
          <w:p w14:paraId="24ADCF38" w14:textId="77777777" w:rsidR="00244A22" w:rsidRPr="00D34CEC" w:rsidRDefault="00244A22" w:rsidP="00117458">
            <w:r w:rsidRPr="00D34CEC">
              <w:t>19</w:t>
            </w:r>
          </w:p>
        </w:tc>
        <w:tc>
          <w:tcPr>
            <w:tcW w:w="0" w:type="auto"/>
            <w:vAlign w:val="center"/>
            <w:hideMark/>
          </w:tcPr>
          <w:p w14:paraId="3AF367AB" w14:textId="77777777" w:rsidR="00244A22" w:rsidRPr="00D34CEC" w:rsidRDefault="00244A22" w:rsidP="00117458">
            <w:r w:rsidRPr="00D34CEC">
              <w:t>25%</w:t>
            </w:r>
          </w:p>
        </w:tc>
      </w:tr>
      <w:tr w:rsidR="0096564C" w:rsidRPr="00D34CEC" w14:paraId="0EC90C3C" w14:textId="77777777" w:rsidTr="00117458">
        <w:trPr>
          <w:tblCellSpacing w:w="15" w:type="dxa"/>
        </w:trPr>
        <w:tc>
          <w:tcPr>
            <w:tcW w:w="0" w:type="auto"/>
            <w:vAlign w:val="center"/>
            <w:hideMark/>
          </w:tcPr>
          <w:p w14:paraId="01AA95AB" w14:textId="77777777" w:rsidR="00244A22" w:rsidRPr="00D34CEC" w:rsidRDefault="00244A22" w:rsidP="00117458"/>
        </w:tc>
        <w:tc>
          <w:tcPr>
            <w:tcW w:w="0" w:type="auto"/>
            <w:vAlign w:val="center"/>
            <w:hideMark/>
          </w:tcPr>
          <w:p w14:paraId="083C5FC5" w14:textId="77777777" w:rsidR="00244A22" w:rsidRPr="00D34CEC" w:rsidRDefault="00244A22" w:rsidP="00117458">
            <w:r w:rsidRPr="00D34CEC">
              <w:t>Joint committees with district/county</w:t>
            </w:r>
          </w:p>
        </w:tc>
        <w:tc>
          <w:tcPr>
            <w:tcW w:w="0" w:type="auto"/>
            <w:vAlign w:val="center"/>
            <w:hideMark/>
          </w:tcPr>
          <w:p w14:paraId="0F32C736" w14:textId="77777777" w:rsidR="00244A22" w:rsidRPr="00D34CEC" w:rsidRDefault="00244A22" w:rsidP="00117458">
            <w:r w:rsidRPr="00D34CEC">
              <w:t>2</w:t>
            </w:r>
          </w:p>
        </w:tc>
        <w:tc>
          <w:tcPr>
            <w:tcW w:w="0" w:type="auto"/>
            <w:vAlign w:val="center"/>
            <w:hideMark/>
          </w:tcPr>
          <w:p w14:paraId="2A112765" w14:textId="77777777" w:rsidR="00244A22" w:rsidRPr="00D34CEC" w:rsidRDefault="00244A22" w:rsidP="00117458">
            <w:r w:rsidRPr="00D34CEC">
              <w:t>6%</w:t>
            </w:r>
          </w:p>
        </w:tc>
        <w:tc>
          <w:tcPr>
            <w:tcW w:w="0" w:type="auto"/>
            <w:vAlign w:val="center"/>
            <w:hideMark/>
          </w:tcPr>
          <w:p w14:paraId="6F210E8A" w14:textId="77777777" w:rsidR="00244A22" w:rsidRPr="00D34CEC" w:rsidRDefault="00244A22" w:rsidP="00117458">
            <w:r w:rsidRPr="00D34CEC">
              <w:t>5</w:t>
            </w:r>
          </w:p>
        </w:tc>
        <w:tc>
          <w:tcPr>
            <w:tcW w:w="0" w:type="auto"/>
            <w:vAlign w:val="center"/>
            <w:hideMark/>
          </w:tcPr>
          <w:p w14:paraId="6237B935" w14:textId="77777777" w:rsidR="00244A22" w:rsidRPr="00D34CEC" w:rsidRDefault="00244A22" w:rsidP="00117458">
            <w:r w:rsidRPr="00D34CEC">
              <w:t>7%</w:t>
            </w:r>
          </w:p>
        </w:tc>
      </w:tr>
      <w:tr w:rsidR="0096564C" w:rsidRPr="00D34CEC" w14:paraId="69A66ECE" w14:textId="77777777" w:rsidTr="00117458">
        <w:trPr>
          <w:tblCellSpacing w:w="15" w:type="dxa"/>
        </w:trPr>
        <w:tc>
          <w:tcPr>
            <w:tcW w:w="0" w:type="auto"/>
            <w:vAlign w:val="center"/>
            <w:hideMark/>
          </w:tcPr>
          <w:p w14:paraId="51E71570" w14:textId="77777777" w:rsidR="00244A22" w:rsidRPr="00D34CEC" w:rsidRDefault="00244A22" w:rsidP="00117458"/>
        </w:tc>
        <w:tc>
          <w:tcPr>
            <w:tcW w:w="0" w:type="auto"/>
            <w:vAlign w:val="center"/>
            <w:hideMark/>
          </w:tcPr>
          <w:p w14:paraId="292E5A02" w14:textId="77777777" w:rsidR="00244A22" w:rsidRPr="00D34CEC" w:rsidRDefault="00244A22" w:rsidP="00117458">
            <w:r w:rsidRPr="00D34CEC">
              <w:t>New representative body</w:t>
            </w:r>
          </w:p>
        </w:tc>
        <w:tc>
          <w:tcPr>
            <w:tcW w:w="0" w:type="auto"/>
            <w:vAlign w:val="center"/>
            <w:hideMark/>
          </w:tcPr>
          <w:p w14:paraId="723FBCEA" w14:textId="77777777" w:rsidR="00244A22" w:rsidRPr="00D34CEC" w:rsidRDefault="00244A22" w:rsidP="00117458">
            <w:r w:rsidRPr="00D34CEC">
              <w:t>4</w:t>
            </w:r>
          </w:p>
        </w:tc>
        <w:tc>
          <w:tcPr>
            <w:tcW w:w="0" w:type="auto"/>
            <w:vAlign w:val="center"/>
            <w:hideMark/>
          </w:tcPr>
          <w:p w14:paraId="123F5412" w14:textId="77777777" w:rsidR="00244A22" w:rsidRPr="00D34CEC" w:rsidRDefault="00244A22" w:rsidP="00117458">
            <w:r w:rsidRPr="00D34CEC">
              <w:t>12%</w:t>
            </w:r>
          </w:p>
        </w:tc>
        <w:tc>
          <w:tcPr>
            <w:tcW w:w="0" w:type="auto"/>
            <w:vAlign w:val="center"/>
            <w:hideMark/>
          </w:tcPr>
          <w:p w14:paraId="22890225" w14:textId="77777777" w:rsidR="00244A22" w:rsidRPr="00D34CEC" w:rsidRDefault="00244A22" w:rsidP="00117458">
            <w:r w:rsidRPr="00D34CEC">
              <w:t>9</w:t>
            </w:r>
          </w:p>
        </w:tc>
        <w:tc>
          <w:tcPr>
            <w:tcW w:w="0" w:type="auto"/>
            <w:vAlign w:val="center"/>
            <w:hideMark/>
          </w:tcPr>
          <w:p w14:paraId="7D24037B" w14:textId="77777777" w:rsidR="00244A22" w:rsidRPr="00D34CEC" w:rsidRDefault="00244A22" w:rsidP="00117458">
            <w:r w:rsidRPr="00D34CEC">
              <w:t>12%</w:t>
            </w:r>
          </w:p>
        </w:tc>
      </w:tr>
      <w:tr w:rsidR="0096564C" w:rsidRPr="00D34CEC" w14:paraId="60A2E9DD" w14:textId="77777777" w:rsidTr="00117458">
        <w:trPr>
          <w:tblCellSpacing w:w="15" w:type="dxa"/>
        </w:trPr>
        <w:tc>
          <w:tcPr>
            <w:tcW w:w="0" w:type="auto"/>
            <w:vAlign w:val="center"/>
            <w:hideMark/>
          </w:tcPr>
          <w:p w14:paraId="30F5CF0C" w14:textId="77777777" w:rsidR="00244A22" w:rsidRPr="00D34CEC" w:rsidRDefault="00244A22" w:rsidP="00117458"/>
        </w:tc>
        <w:tc>
          <w:tcPr>
            <w:tcW w:w="0" w:type="auto"/>
            <w:vAlign w:val="center"/>
            <w:hideMark/>
          </w:tcPr>
          <w:p w14:paraId="6114BCA6" w14:textId="77777777" w:rsidR="00244A22" w:rsidRPr="00D34CEC" w:rsidRDefault="00244A22" w:rsidP="00117458">
            <w:r w:rsidRPr="00D34CEC">
              <w:t>Not sure</w:t>
            </w:r>
          </w:p>
        </w:tc>
        <w:tc>
          <w:tcPr>
            <w:tcW w:w="0" w:type="auto"/>
            <w:vAlign w:val="center"/>
            <w:hideMark/>
          </w:tcPr>
          <w:p w14:paraId="73961C78" w14:textId="77777777" w:rsidR="00244A22" w:rsidRPr="00D34CEC" w:rsidRDefault="00244A22" w:rsidP="00117458">
            <w:r w:rsidRPr="00D34CEC">
              <w:t>18</w:t>
            </w:r>
          </w:p>
        </w:tc>
        <w:tc>
          <w:tcPr>
            <w:tcW w:w="0" w:type="auto"/>
            <w:vAlign w:val="center"/>
            <w:hideMark/>
          </w:tcPr>
          <w:p w14:paraId="60CF2493" w14:textId="77777777" w:rsidR="00244A22" w:rsidRPr="00D34CEC" w:rsidRDefault="00244A22" w:rsidP="00117458">
            <w:r w:rsidRPr="00D34CEC">
              <w:t>53%</w:t>
            </w:r>
          </w:p>
        </w:tc>
        <w:tc>
          <w:tcPr>
            <w:tcW w:w="0" w:type="auto"/>
            <w:vAlign w:val="center"/>
            <w:hideMark/>
          </w:tcPr>
          <w:p w14:paraId="05BAF459" w14:textId="77777777" w:rsidR="00244A22" w:rsidRPr="00D34CEC" w:rsidRDefault="00244A22" w:rsidP="00117458">
            <w:r w:rsidRPr="00D34CEC">
              <w:t>40</w:t>
            </w:r>
          </w:p>
        </w:tc>
        <w:tc>
          <w:tcPr>
            <w:tcW w:w="0" w:type="auto"/>
            <w:vAlign w:val="center"/>
            <w:hideMark/>
          </w:tcPr>
          <w:p w14:paraId="703C9EBF" w14:textId="77777777" w:rsidR="00244A22" w:rsidRPr="00D34CEC" w:rsidRDefault="00244A22" w:rsidP="00117458">
            <w:r w:rsidRPr="00D34CEC">
              <w:t>53%</w:t>
            </w:r>
          </w:p>
        </w:tc>
      </w:tr>
      <w:tr w:rsidR="0096564C" w:rsidRPr="00D34CEC" w14:paraId="6B82E22E" w14:textId="77777777" w:rsidTr="00117458">
        <w:trPr>
          <w:tblCellSpacing w:w="15" w:type="dxa"/>
        </w:trPr>
        <w:tc>
          <w:tcPr>
            <w:tcW w:w="0" w:type="auto"/>
            <w:vAlign w:val="center"/>
            <w:hideMark/>
          </w:tcPr>
          <w:p w14:paraId="64F2B373" w14:textId="77777777" w:rsidR="00244A22" w:rsidRPr="00D34CEC" w:rsidRDefault="00244A22" w:rsidP="00117458"/>
        </w:tc>
        <w:tc>
          <w:tcPr>
            <w:tcW w:w="0" w:type="auto"/>
            <w:vAlign w:val="center"/>
            <w:hideMark/>
          </w:tcPr>
          <w:p w14:paraId="4DDB3FC2" w14:textId="77777777" w:rsidR="00244A22" w:rsidRPr="00D34CEC" w:rsidRDefault="00244A22" w:rsidP="00117458">
            <w:r w:rsidRPr="00D34CEC">
              <w:t>Other (unspecified)</w:t>
            </w:r>
          </w:p>
        </w:tc>
        <w:tc>
          <w:tcPr>
            <w:tcW w:w="0" w:type="auto"/>
            <w:vAlign w:val="center"/>
            <w:hideMark/>
          </w:tcPr>
          <w:p w14:paraId="6F29CE6A" w14:textId="77777777" w:rsidR="00244A22" w:rsidRPr="00D34CEC" w:rsidRDefault="00244A22" w:rsidP="00117458">
            <w:r w:rsidRPr="00D34CEC">
              <w:t>1</w:t>
            </w:r>
          </w:p>
        </w:tc>
        <w:tc>
          <w:tcPr>
            <w:tcW w:w="0" w:type="auto"/>
            <w:vAlign w:val="center"/>
            <w:hideMark/>
          </w:tcPr>
          <w:p w14:paraId="31E0A9A7" w14:textId="77777777" w:rsidR="00244A22" w:rsidRPr="00D34CEC" w:rsidRDefault="00244A22" w:rsidP="00117458">
            <w:r w:rsidRPr="00D34CEC">
              <w:t>3%</w:t>
            </w:r>
          </w:p>
        </w:tc>
        <w:tc>
          <w:tcPr>
            <w:tcW w:w="0" w:type="auto"/>
            <w:vAlign w:val="center"/>
            <w:hideMark/>
          </w:tcPr>
          <w:p w14:paraId="12D929F0" w14:textId="77777777" w:rsidR="00244A22" w:rsidRPr="00D34CEC" w:rsidRDefault="00244A22" w:rsidP="00117458">
            <w:r w:rsidRPr="00D34CEC">
              <w:t>2</w:t>
            </w:r>
          </w:p>
        </w:tc>
        <w:tc>
          <w:tcPr>
            <w:tcW w:w="0" w:type="auto"/>
            <w:vAlign w:val="center"/>
            <w:hideMark/>
          </w:tcPr>
          <w:p w14:paraId="302A8D7E" w14:textId="77777777" w:rsidR="00244A22" w:rsidRPr="00D34CEC" w:rsidRDefault="00244A22" w:rsidP="00117458">
            <w:r w:rsidRPr="00D34CEC">
              <w:t>3%</w:t>
            </w:r>
          </w:p>
        </w:tc>
      </w:tr>
    </w:tbl>
    <w:p w14:paraId="172BDC86" w14:textId="77777777" w:rsidR="00244A22" w:rsidRDefault="00244A22" w:rsidP="00244A22"/>
    <w:p w14:paraId="08B7C40B" w14:textId="7F24BEAE" w:rsidR="00244A22" w:rsidRPr="00C72315" w:rsidRDefault="00244A22" w:rsidP="00244A22">
      <w:pPr>
        <w:rPr>
          <w:b/>
          <w:bCs/>
        </w:rPr>
      </w:pPr>
      <w:r w:rsidRPr="00C72315">
        <w:rPr>
          <w:b/>
          <w:bCs/>
        </w:rPr>
        <w:t>Council Size Breakdown</w:t>
      </w:r>
    </w:p>
    <w:p w14:paraId="0CE898CA" w14:textId="77777777" w:rsidR="00244A22" w:rsidRDefault="00244A22" w:rsidP="00244A22">
      <w:r w:rsidRPr="00C72315">
        <w:t>Understanding how views differ by council size is essential in tailoring support and planning devolved functions. Smaller councils often face unique challenges related to capacity and governance, while larger councils may be better resourced but face more complex service expectations. This breakdown explores how interest, capacity, financial concern and collaboration attitudes vary between small, medium, and large councils.</w:t>
      </w:r>
    </w:p>
    <w:p w14:paraId="523A391A" w14:textId="77D3A9FF" w:rsidR="00244A22" w:rsidRPr="00C72315" w:rsidRDefault="00244A22" w:rsidP="00244A22">
      <w:r>
        <w:t>*</w:t>
      </w:r>
      <w:r w:rsidR="0096564C">
        <w:t>Full verified</w:t>
      </w:r>
      <w:r>
        <w:t xml:space="preserve"> response dataset used to gain a broader picture.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5"/>
        <w:gridCol w:w="2258"/>
        <w:gridCol w:w="1418"/>
        <w:gridCol w:w="1134"/>
        <w:gridCol w:w="1371"/>
      </w:tblGrid>
      <w:tr w:rsidR="00244A22" w:rsidRPr="004342C8" w14:paraId="7F1F0165" w14:textId="77777777" w:rsidTr="0096564C">
        <w:trPr>
          <w:tblHeader/>
          <w:tblCellSpacing w:w="15" w:type="dxa"/>
        </w:trPr>
        <w:tc>
          <w:tcPr>
            <w:tcW w:w="2800" w:type="dxa"/>
            <w:vAlign w:val="center"/>
            <w:hideMark/>
          </w:tcPr>
          <w:p w14:paraId="7DFCD594" w14:textId="77777777" w:rsidR="00244A22" w:rsidRPr="004342C8" w:rsidRDefault="00244A22" w:rsidP="00117458">
            <w:pPr>
              <w:rPr>
                <w:b/>
                <w:bCs/>
              </w:rPr>
            </w:pPr>
            <w:r w:rsidRPr="004342C8">
              <w:rPr>
                <w:b/>
                <w:bCs/>
              </w:rPr>
              <w:t>Question Area</w:t>
            </w:r>
          </w:p>
        </w:tc>
        <w:tc>
          <w:tcPr>
            <w:tcW w:w="2228" w:type="dxa"/>
            <w:vAlign w:val="center"/>
            <w:hideMark/>
          </w:tcPr>
          <w:p w14:paraId="679A8633" w14:textId="77777777" w:rsidR="00244A22" w:rsidRPr="004342C8" w:rsidRDefault="00244A22" w:rsidP="00117458">
            <w:pPr>
              <w:rPr>
                <w:b/>
                <w:bCs/>
              </w:rPr>
            </w:pPr>
            <w:r w:rsidRPr="004342C8">
              <w:rPr>
                <w:b/>
                <w:bCs/>
              </w:rPr>
              <w:t>Response</w:t>
            </w:r>
          </w:p>
        </w:tc>
        <w:tc>
          <w:tcPr>
            <w:tcW w:w="1388" w:type="dxa"/>
            <w:vAlign w:val="center"/>
            <w:hideMark/>
          </w:tcPr>
          <w:p w14:paraId="2E1B410C" w14:textId="77777777" w:rsidR="00244A22" w:rsidRPr="004342C8" w:rsidRDefault="00244A22" w:rsidP="00117458">
            <w:pPr>
              <w:rPr>
                <w:b/>
                <w:bCs/>
              </w:rPr>
            </w:pPr>
            <w:r w:rsidRPr="004342C8">
              <w:rPr>
                <w:b/>
                <w:bCs/>
              </w:rPr>
              <w:t>Small (1–6)</w:t>
            </w:r>
          </w:p>
        </w:tc>
        <w:tc>
          <w:tcPr>
            <w:tcW w:w="1104" w:type="dxa"/>
            <w:vAlign w:val="center"/>
            <w:hideMark/>
          </w:tcPr>
          <w:p w14:paraId="669B4020" w14:textId="77777777" w:rsidR="00244A22" w:rsidRPr="004342C8" w:rsidRDefault="00244A22" w:rsidP="00117458">
            <w:pPr>
              <w:rPr>
                <w:b/>
                <w:bCs/>
              </w:rPr>
            </w:pPr>
            <w:r w:rsidRPr="004342C8">
              <w:rPr>
                <w:b/>
                <w:bCs/>
              </w:rPr>
              <w:t>Medium (7–14)</w:t>
            </w:r>
          </w:p>
        </w:tc>
        <w:tc>
          <w:tcPr>
            <w:tcW w:w="1326" w:type="dxa"/>
            <w:vAlign w:val="center"/>
            <w:hideMark/>
          </w:tcPr>
          <w:p w14:paraId="6CF7F280" w14:textId="77777777" w:rsidR="00244A22" w:rsidRPr="004342C8" w:rsidRDefault="00244A22" w:rsidP="00117458">
            <w:pPr>
              <w:rPr>
                <w:b/>
                <w:bCs/>
              </w:rPr>
            </w:pPr>
            <w:r w:rsidRPr="004342C8">
              <w:rPr>
                <w:b/>
                <w:bCs/>
              </w:rPr>
              <w:t>Large (15+)</w:t>
            </w:r>
          </w:p>
        </w:tc>
      </w:tr>
      <w:tr w:rsidR="00244A22" w:rsidRPr="004342C8" w14:paraId="1FDE1929" w14:textId="77777777" w:rsidTr="0096564C">
        <w:trPr>
          <w:tblCellSpacing w:w="15" w:type="dxa"/>
        </w:trPr>
        <w:tc>
          <w:tcPr>
            <w:tcW w:w="2800" w:type="dxa"/>
            <w:vAlign w:val="center"/>
            <w:hideMark/>
          </w:tcPr>
          <w:p w14:paraId="63858B48" w14:textId="77777777" w:rsidR="00244A22" w:rsidRPr="004342C8" w:rsidRDefault="00244A22" w:rsidP="00117458">
            <w:r w:rsidRPr="004342C8">
              <w:rPr>
                <w:b/>
                <w:bCs/>
              </w:rPr>
              <w:t>Interest in Taking on Responsibilities</w:t>
            </w:r>
          </w:p>
        </w:tc>
        <w:tc>
          <w:tcPr>
            <w:tcW w:w="2228" w:type="dxa"/>
            <w:vAlign w:val="center"/>
            <w:hideMark/>
          </w:tcPr>
          <w:p w14:paraId="153D3249" w14:textId="77777777" w:rsidR="00244A22" w:rsidRPr="004342C8" w:rsidRDefault="00244A22" w:rsidP="00117458">
            <w:r w:rsidRPr="004342C8">
              <w:t>Yes</w:t>
            </w:r>
          </w:p>
        </w:tc>
        <w:tc>
          <w:tcPr>
            <w:tcW w:w="1388" w:type="dxa"/>
            <w:vAlign w:val="center"/>
            <w:hideMark/>
          </w:tcPr>
          <w:p w14:paraId="67BEC7ED" w14:textId="77777777" w:rsidR="00244A22" w:rsidRPr="004342C8" w:rsidRDefault="00244A22" w:rsidP="00117458">
            <w:r w:rsidRPr="004342C8">
              <w:t>4</w:t>
            </w:r>
          </w:p>
        </w:tc>
        <w:tc>
          <w:tcPr>
            <w:tcW w:w="1104" w:type="dxa"/>
            <w:vAlign w:val="center"/>
            <w:hideMark/>
          </w:tcPr>
          <w:p w14:paraId="1D08ABC9" w14:textId="77777777" w:rsidR="00244A22" w:rsidRPr="004342C8" w:rsidRDefault="00244A22" w:rsidP="00117458">
            <w:r w:rsidRPr="004342C8">
              <w:t>14</w:t>
            </w:r>
          </w:p>
        </w:tc>
        <w:tc>
          <w:tcPr>
            <w:tcW w:w="1326" w:type="dxa"/>
            <w:vAlign w:val="center"/>
            <w:hideMark/>
          </w:tcPr>
          <w:p w14:paraId="70B30BF1" w14:textId="77777777" w:rsidR="00244A22" w:rsidRPr="004342C8" w:rsidRDefault="00244A22" w:rsidP="00117458">
            <w:r w:rsidRPr="004342C8">
              <w:t>6</w:t>
            </w:r>
          </w:p>
        </w:tc>
      </w:tr>
      <w:tr w:rsidR="00244A22" w:rsidRPr="004342C8" w14:paraId="30A7E296" w14:textId="77777777" w:rsidTr="0096564C">
        <w:trPr>
          <w:tblCellSpacing w:w="15" w:type="dxa"/>
        </w:trPr>
        <w:tc>
          <w:tcPr>
            <w:tcW w:w="2800" w:type="dxa"/>
            <w:vAlign w:val="center"/>
            <w:hideMark/>
          </w:tcPr>
          <w:p w14:paraId="2677F012" w14:textId="77777777" w:rsidR="00244A22" w:rsidRPr="004342C8" w:rsidRDefault="00244A22" w:rsidP="00117458"/>
        </w:tc>
        <w:tc>
          <w:tcPr>
            <w:tcW w:w="2228" w:type="dxa"/>
            <w:vAlign w:val="center"/>
            <w:hideMark/>
          </w:tcPr>
          <w:p w14:paraId="6241A287" w14:textId="77777777" w:rsidR="00244A22" w:rsidRPr="004342C8" w:rsidRDefault="00244A22" w:rsidP="00117458">
            <w:r w:rsidRPr="004342C8">
              <w:t>Unsure</w:t>
            </w:r>
          </w:p>
        </w:tc>
        <w:tc>
          <w:tcPr>
            <w:tcW w:w="1388" w:type="dxa"/>
            <w:vAlign w:val="center"/>
            <w:hideMark/>
          </w:tcPr>
          <w:p w14:paraId="0B04F388" w14:textId="77777777" w:rsidR="00244A22" w:rsidRPr="004342C8" w:rsidRDefault="00244A22" w:rsidP="00117458">
            <w:r w:rsidRPr="004342C8">
              <w:t>8</w:t>
            </w:r>
          </w:p>
        </w:tc>
        <w:tc>
          <w:tcPr>
            <w:tcW w:w="1104" w:type="dxa"/>
            <w:vAlign w:val="center"/>
            <w:hideMark/>
          </w:tcPr>
          <w:p w14:paraId="57FF5DC1" w14:textId="77777777" w:rsidR="00244A22" w:rsidRPr="004342C8" w:rsidRDefault="00244A22" w:rsidP="00117458">
            <w:r w:rsidRPr="004342C8">
              <w:t>26</w:t>
            </w:r>
          </w:p>
        </w:tc>
        <w:tc>
          <w:tcPr>
            <w:tcW w:w="1326" w:type="dxa"/>
            <w:vAlign w:val="center"/>
            <w:hideMark/>
          </w:tcPr>
          <w:p w14:paraId="7ABC9B89" w14:textId="77777777" w:rsidR="00244A22" w:rsidRPr="004342C8" w:rsidRDefault="00244A22" w:rsidP="00117458">
            <w:r w:rsidRPr="004342C8">
              <w:t>7</w:t>
            </w:r>
          </w:p>
        </w:tc>
      </w:tr>
      <w:tr w:rsidR="00244A22" w:rsidRPr="004342C8" w14:paraId="6AE19E34" w14:textId="77777777" w:rsidTr="0096564C">
        <w:trPr>
          <w:tblCellSpacing w:w="15" w:type="dxa"/>
        </w:trPr>
        <w:tc>
          <w:tcPr>
            <w:tcW w:w="2800" w:type="dxa"/>
            <w:vAlign w:val="center"/>
            <w:hideMark/>
          </w:tcPr>
          <w:p w14:paraId="33AC6C3C" w14:textId="77777777" w:rsidR="00244A22" w:rsidRPr="004342C8" w:rsidRDefault="00244A22" w:rsidP="00117458"/>
        </w:tc>
        <w:tc>
          <w:tcPr>
            <w:tcW w:w="2228" w:type="dxa"/>
            <w:vAlign w:val="center"/>
            <w:hideMark/>
          </w:tcPr>
          <w:p w14:paraId="78C1082B" w14:textId="77777777" w:rsidR="00244A22" w:rsidRPr="004342C8" w:rsidRDefault="00244A22" w:rsidP="00117458">
            <w:r w:rsidRPr="004342C8">
              <w:t>No</w:t>
            </w:r>
          </w:p>
        </w:tc>
        <w:tc>
          <w:tcPr>
            <w:tcW w:w="1388" w:type="dxa"/>
            <w:vAlign w:val="center"/>
            <w:hideMark/>
          </w:tcPr>
          <w:p w14:paraId="206359AD" w14:textId="77777777" w:rsidR="00244A22" w:rsidRPr="004342C8" w:rsidRDefault="00244A22" w:rsidP="00117458">
            <w:r w:rsidRPr="004342C8">
              <w:t>5</w:t>
            </w:r>
          </w:p>
        </w:tc>
        <w:tc>
          <w:tcPr>
            <w:tcW w:w="1104" w:type="dxa"/>
            <w:vAlign w:val="center"/>
            <w:hideMark/>
          </w:tcPr>
          <w:p w14:paraId="1E7405A9" w14:textId="77777777" w:rsidR="00244A22" w:rsidRPr="004342C8" w:rsidRDefault="00244A22" w:rsidP="00117458">
            <w:r w:rsidRPr="004342C8">
              <w:t>5</w:t>
            </w:r>
          </w:p>
        </w:tc>
        <w:tc>
          <w:tcPr>
            <w:tcW w:w="1326" w:type="dxa"/>
            <w:vAlign w:val="center"/>
            <w:hideMark/>
          </w:tcPr>
          <w:p w14:paraId="6409E6A1" w14:textId="77777777" w:rsidR="00244A22" w:rsidRPr="004342C8" w:rsidRDefault="00244A22" w:rsidP="00117458">
            <w:r w:rsidRPr="004342C8">
              <w:t>0</w:t>
            </w:r>
          </w:p>
        </w:tc>
      </w:tr>
      <w:tr w:rsidR="00244A22" w:rsidRPr="004342C8" w14:paraId="127AC47E" w14:textId="77777777" w:rsidTr="0096564C">
        <w:trPr>
          <w:tblCellSpacing w:w="15" w:type="dxa"/>
        </w:trPr>
        <w:tc>
          <w:tcPr>
            <w:tcW w:w="2800" w:type="dxa"/>
            <w:vAlign w:val="center"/>
            <w:hideMark/>
          </w:tcPr>
          <w:p w14:paraId="6C7F2A6C" w14:textId="77777777" w:rsidR="00244A22" w:rsidRPr="004342C8" w:rsidRDefault="00244A22" w:rsidP="00117458">
            <w:r w:rsidRPr="004342C8">
              <w:rPr>
                <w:b/>
                <w:bCs/>
              </w:rPr>
              <w:t>Capacity to Take on Responsibilities</w:t>
            </w:r>
          </w:p>
        </w:tc>
        <w:tc>
          <w:tcPr>
            <w:tcW w:w="2228" w:type="dxa"/>
            <w:vAlign w:val="center"/>
            <w:hideMark/>
          </w:tcPr>
          <w:p w14:paraId="658B630C" w14:textId="77777777" w:rsidR="00244A22" w:rsidRPr="004342C8" w:rsidRDefault="00244A22" w:rsidP="00117458">
            <w:r w:rsidRPr="004342C8">
              <w:t>Yes</w:t>
            </w:r>
          </w:p>
        </w:tc>
        <w:tc>
          <w:tcPr>
            <w:tcW w:w="1388" w:type="dxa"/>
            <w:vAlign w:val="center"/>
            <w:hideMark/>
          </w:tcPr>
          <w:p w14:paraId="2F63C044" w14:textId="77777777" w:rsidR="00244A22" w:rsidRPr="004342C8" w:rsidRDefault="00244A22" w:rsidP="00117458">
            <w:r w:rsidRPr="004342C8">
              <w:t>0</w:t>
            </w:r>
          </w:p>
        </w:tc>
        <w:tc>
          <w:tcPr>
            <w:tcW w:w="1104" w:type="dxa"/>
            <w:vAlign w:val="center"/>
            <w:hideMark/>
          </w:tcPr>
          <w:p w14:paraId="20D3C2AD" w14:textId="77777777" w:rsidR="00244A22" w:rsidRPr="004342C8" w:rsidRDefault="00244A22" w:rsidP="00117458">
            <w:r w:rsidRPr="004342C8">
              <w:t>2</w:t>
            </w:r>
          </w:p>
        </w:tc>
        <w:tc>
          <w:tcPr>
            <w:tcW w:w="1326" w:type="dxa"/>
            <w:vAlign w:val="center"/>
            <w:hideMark/>
          </w:tcPr>
          <w:p w14:paraId="76E035BE" w14:textId="77777777" w:rsidR="00244A22" w:rsidRPr="004342C8" w:rsidRDefault="00244A22" w:rsidP="00117458">
            <w:r w:rsidRPr="004342C8">
              <w:t>0</w:t>
            </w:r>
          </w:p>
        </w:tc>
      </w:tr>
      <w:tr w:rsidR="00244A22" w:rsidRPr="004342C8" w14:paraId="075B2D26" w14:textId="77777777" w:rsidTr="0096564C">
        <w:trPr>
          <w:tblCellSpacing w:w="15" w:type="dxa"/>
        </w:trPr>
        <w:tc>
          <w:tcPr>
            <w:tcW w:w="2800" w:type="dxa"/>
            <w:vAlign w:val="center"/>
            <w:hideMark/>
          </w:tcPr>
          <w:p w14:paraId="0AD0E307" w14:textId="77777777" w:rsidR="00244A22" w:rsidRPr="004342C8" w:rsidRDefault="00244A22" w:rsidP="00117458"/>
        </w:tc>
        <w:tc>
          <w:tcPr>
            <w:tcW w:w="2228" w:type="dxa"/>
            <w:vAlign w:val="center"/>
            <w:hideMark/>
          </w:tcPr>
          <w:p w14:paraId="0AA24170" w14:textId="77777777" w:rsidR="00244A22" w:rsidRPr="004342C8" w:rsidRDefault="00244A22" w:rsidP="00117458">
            <w:r w:rsidRPr="004342C8">
              <w:t>With additional support</w:t>
            </w:r>
          </w:p>
        </w:tc>
        <w:tc>
          <w:tcPr>
            <w:tcW w:w="1388" w:type="dxa"/>
            <w:vAlign w:val="center"/>
            <w:hideMark/>
          </w:tcPr>
          <w:p w14:paraId="0DB51A84" w14:textId="77777777" w:rsidR="00244A22" w:rsidRPr="004342C8" w:rsidRDefault="00244A22" w:rsidP="00117458">
            <w:r w:rsidRPr="004342C8">
              <w:t>5</w:t>
            </w:r>
          </w:p>
        </w:tc>
        <w:tc>
          <w:tcPr>
            <w:tcW w:w="1104" w:type="dxa"/>
            <w:vAlign w:val="center"/>
            <w:hideMark/>
          </w:tcPr>
          <w:p w14:paraId="77C6EF99" w14:textId="77777777" w:rsidR="00244A22" w:rsidRPr="004342C8" w:rsidRDefault="00244A22" w:rsidP="00117458">
            <w:r w:rsidRPr="004342C8">
              <w:t>22</w:t>
            </w:r>
          </w:p>
        </w:tc>
        <w:tc>
          <w:tcPr>
            <w:tcW w:w="1326" w:type="dxa"/>
            <w:vAlign w:val="center"/>
            <w:hideMark/>
          </w:tcPr>
          <w:p w14:paraId="25E2C2E2" w14:textId="77777777" w:rsidR="00244A22" w:rsidRPr="004342C8" w:rsidRDefault="00244A22" w:rsidP="00117458">
            <w:r w:rsidRPr="004342C8">
              <w:t>11</w:t>
            </w:r>
          </w:p>
        </w:tc>
      </w:tr>
      <w:tr w:rsidR="00244A22" w:rsidRPr="004342C8" w14:paraId="3553AF0C" w14:textId="77777777" w:rsidTr="0096564C">
        <w:trPr>
          <w:tblCellSpacing w:w="15" w:type="dxa"/>
        </w:trPr>
        <w:tc>
          <w:tcPr>
            <w:tcW w:w="2800" w:type="dxa"/>
            <w:vAlign w:val="center"/>
            <w:hideMark/>
          </w:tcPr>
          <w:p w14:paraId="4FDFC480" w14:textId="77777777" w:rsidR="00244A22" w:rsidRPr="004342C8" w:rsidRDefault="00244A22" w:rsidP="00117458"/>
        </w:tc>
        <w:tc>
          <w:tcPr>
            <w:tcW w:w="2228" w:type="dxa"/>
            <w:vAlign w:val="center"/>
            <w:hideMark/>
          </w:tcPr>
          <w:p w14:paraId="56823718" w14:textId="77777777" w:rsidR="00244A22" w:rsidRPr="004342C8" w:rsidRDefault="00244A22" w:rsidP="00117458">
            <w:r w:rsidRPr="004342C8">
              <w:t>No</w:t>
            </w:r>
          </w:p>
        </w:tc>
        <w:tc>
          <w:tcPr>
            <w:tcW w:w="1388" w:type="dxa"/>
            <w:vAlign w:val="center"/>
            <w:hideMark/>
          </w:tcPr>
          <w:p w14:paraId="5C887054" w14:textId="77777777" w:rsidR="00244A22" w:rsidRPr="004342C8" w:rsidRDefault="00244A22" w:rsidP="00117458">
            <w:r w:rsidRPr="004342C8">
              <w:t>12</w:t>
            </w:r>
          </w:p>
        </w:tc>
        <w:tc>
          <w:tcPr>
            <w:tcW w:w="1104" w:type="dxa"/>
            <w:vAlign w:val="center"/>
            <w:hideMark/>
          </w:tcPr>
          <w:p w14:paraId="794A33D5" w14:textId="77777777" w:rsidR="00244A22" w:rsidRPr="004342C8" w:rsidRDefault="00244A22" w:rsidP="00117458">
            <w:r w:rsidRPr="004342C8">
              <w:t>21</w:t>
            </w:r>
          </w:p>
        </w:tc>
        <w:tc>
          <w:tcPr>
            <w:tcW w:w="1326" w:type="dxa"/>
            <w:vAlign w:val="center"/>
            <w:hideMark/>
          </w:tcPr>
          <w:p w14:paraId="2EB3731B" w14:textId="77777777" w:rsidR="00244A22" w:rsidRPr="004342C8" w:rsidRDefault="00244A22" w:rsidP="00117458">
            <w:r w:rsidRPr="004342C8">
              <w:t>2</w:t>
            </w:r>
          </w:p>
        </w:tc>
      </w:tr>
      <w:tr w:rsidR="00244A22" w:rsidRPr="004342C8" w14:paraId="3A1BC966" w14:textId="77777777" w:rsidTr="0096564C">
        <w:trPr>
          <w:tblCellSpacing w:w="15" w:type="dxa"/>
        </w:trPr>
        <w:tc>
          <w:tcPr>
            <w:tcW w:w="2800" w:type="dxa"/>
            <w:vAlign w:val="center"/>
            <w:hideMark/>
          </w:tcPr>
          <w:p w14:paraId="666F29D6" w14:textId="77777777" w:rsidR="00244A22" w:rsidRPr="004342C8" w:rsidRDefault="00244A22" w:rsidP="00117458">
            <w:r w:rsidRPr="004342C8">
              <w:rPr>
                <w:b/>
                <w:bCs/>
              </w:rPr>
              <w:t>Concern About Financial Impact</w:t>
            </w:r>
          </w:p>
        </w:tc>
        <w:tc>
          <w:tcPr>
            <w:tcW w:w="2228" w:type="dxa"/>
            <w:vAlign w:val="center"/>
            <w:hideMark/>
          </w:tcPr>
          <w:p w14:paraId="51A4E5B6" w14:textId="77777777" w:rsidR="00244A22" w:rsidRPr="004342C8" w:rsidRDefault="00244A22" w:rsidP="00117458">
            <w:r w:rsidRPr="004342C8">
              <w:t>Not concerned</w:t>
            </w:r>
          </w:p>
        </w:tc>
        <w:tc>
          <w:tcPr>
            <w:tcW w:w="1388" w:type="dxa"/>
            <w:vAlign w:val="center"/>
            <w:hideMark/>
          </w:tcPr>
          <w:p w14:paraId="3E0D5155" w14:textId="77777777" w:rsidR="00244A22" w:rsidRPr="004342C8" w:rsidRDefault="00244A22" w:rsidP="00117458">
            <w:r w:rsidRPr="004342C8">
              <w:t>1</w:t>
            </w:r>
          </w:p>
        </w:tc>
        <w:tc>
          <w:tcPr>
            <w:tcW w:w="1104" w:type="dxa"/>
            <w:vAlign w:val="center"/>
            <w:hideMark/>
          </w:tcPr>
          <w:p w14:paraId="1FF5F808" w14:textId="77777777" w:rsidR="00244A22" w:rsidRPr="004342C8" w:rsidRDefault="00244A22" w:rsidP="00117458">
            <w:r w:rsidRPr="004342C8">
              <w:t>2</w:t>
            </w:r>
          </w:p>
        </w:tc>
        <w:tc>
          <w:tcPr>
            <w:tcW w:w="1326" w:type="dxa"/>
            <w:vAlign w:val="center"/>
            <w:hideMark/>
          </w:tcPr>
          <w:p w14:paraId="3A390FB1" w14:textId="77777777" w:rsidR="00244A22" w:rsidRPr="004342C8" w:rsidRDefault="00244A22" w:rsidP="00117458">
            <w:r w:rsidRPr="004342C8">
              <w:t>1</w:t>
            </w:r>
          </w:p>
        </w:tc>
      </w:tr>
      <w:tr w:rsidR="00244A22" w:rsidRPr="004342C8" w14:paraId="554252AE" w14:textId="77777777" w:rsidTr="0096564C">
        <w:trPr>
          <w:tblCellSpacing w:w="15" w:type="dxa"/>
        </w:trPr>
        <w:tc>
          <w:tcPr>
            <w:tcW w:w="2800" w:type="dxa"/>
            <w:vAlign w:val="center"/>
            <w:hideMark/>
          </w:tcPr>
          <w:p w14:paraId="570A2E90" w14:textId="77777777" w:rsidR="00244A22" w:rsidRPr="004342C8" w:rsidRDefault="00244A22" w:rsidP="00117458"/>
        </w:tc>
        <w:tc>
          <w:tcPr>
            <w:tcW w:w="2228" w:type="dxa"/>
            <w:vAlign w:val="center"/>
            <w:hideMark/>
          </w:tcPr>
          <w:p w14:paraId="3CA9225B" w14:textId="77777777" w:rsidR="00244A22" w:rsidRPr="004342C8" w:rsidRDefault="00244A22" w:rsidP="00117458">
            <w:r w:rsidRPr="004342C8">
              <w:t>Somewhat concerned</w:t>
            </w:r>
          </w:p>
        </w:tc>
        <w:tc>
          <w:tcPr>
            <w:tcW w:w="1388" w:type="dxa"/>
            <w:vAlign w:val="center"/>
            <w:hideMark/>
          </w:tcPr>
          <w:p w14:paraId="3F97C0F2" w14:textId="77777777" w:rsidR="00244A22" w:rsidRPr="004342C8" w:rsidRDefault="00244A22" w:rsidP="00117458">
            <w:r w:rsidRPr="004342C8">
              <w:t>9</w:t>
            </w:r>
          </w:p>
        </w:tc>
        <w:tc>
          <w:tcPr>
            <w:tcW w:w="1104" w:type="dxa"/>
            <w:vAlign w:val="center"/>
            <w:hideMark/>
          </w:tcPr>
          <w:p w14:paraId="3BD1CD1F" w14:textId="77777777" w:rsidR="00244A22" w:rsidRPr="004342C8" w:rsidRDefault="00244A22" w:rsidP="00117458">
            <w:r w:rsidRPr="004342C8">
              <w:t>19</w:t>
            </w:r>
          </w:p>
        </w:tc>
        <w:tc>
          <w:tcPr>
            <w:tcW w:w="1326" w:type="dxa"/>
            <w:vAlign w:val="center"/>
            <w:hideMark/>
          </w:tcPr>
          <w:p w14:paraId="7AB6E37E" w14:textId="77777777" w:rsidR="00244A22" w:rsidRPr="004342C8" w:rsidRDefault="00244A22" w:rsidP="00117458">
            <w:r w:rsidRPr="004342C8">
              <w:t>5</w:t>
            </w:r>
          </w:p>
        </w:tc>
      </w:tr>
      <w:tr w:rsidR="00244A22" w:rsidRPr="004342C8" w14:paraId="45AAAEFF" w14:textId="77777777" w:rsidTr="0096564C">
        <w:trPr>
          <w:tblCellSpacing w:w="15" w:type="dxa"/>
        </w:trPr>
        <w:tc>
          <w:tcPr>
            <w:tcW w:w="2800" w:type="dxa"/>
            <w:vAlign w:val="center"/>
            <w:hideMark/>
          </w:tcPr>
          <w:p w14:paraId="6C6ACB6E" w14:textId="77777777" w:rsidR="00244A22" w:rsidRPr="004342C8" w:rsidRDefault="00244A22" w:rsidP="00117458"/>
        </w:tc>
        <w:tc>
          <w:tcPr>
            <w:tcW w:w="2228" w:type="dxa"/>
            <w:vAlign w:val="center"/>
            <w:hideMark/>
          </w:tcPr>
          <w:p w14:paraId="580B1C37" w14:textId="77777777" w:rsidR="00244A22" w:rsidRPr="004342C8" w:rsidRDefault="00244A22" w:rsidP="00117458">
            <w:r w:rsidRPr="004342C8">
              <w:t>Very concerned</w:t>
            </w:r>
          </w:p>
        </w:tc>
        <w:tc>
          <w:tcPr>
            <w:tcW w:w="1388" w:type="dxa"/>
            <w:vAlign w:val="center"/>
            <w:hideMark/>
          </w:tcPr>
          <w:p w14:paraId="3D46617E" w14:textId="77777777" w:rsidR="00244A22" w:rsidRPr="004342C8" w:rsidRDefault="00244A22" w:rsidP="00117458">
            <w:r w:rsidRPr="004342C8">
              <w:t>7</w:t>
            </w:r>
          </w:p>
        </w:tc>
        <w:tc>
          <w:tcPr>
            <w:tcW w:w="1104" w:type="dxa"/>
            <w:vAlign w:val="center"/>
            <w:hideMark/>
          </w:tcPr>
          <w:p w14:paraId="5016EDBF" w14:textId="77777777" w:rsidR="00244A22" w:rsidRPr="004342C8" w:rsidRDefault="00244A22" w:rsidP="00117458">
            <w:r w:rsidRPr="004342C8">
              <w:t>24</w:t>
            </w:r>
          </w:p>
        </w:tc>
        <w:tc>
          <w:tcPr>
            <w:tcW w:w="1326" w:type="dxa"/>
            <w:vAlign w:val="center"/>
            <w:hideMark/>
          </w:tcPr>
          <w:p w14:paraId="1AABA376" w14:textId="77777777" w:rsidR="00244A22" w:rsidRPr="004342C8" w:rsidRDefault="00244A22" w:rsidP="00117458">
            <w:r w:rsidRPr="004342C8">
              <w:t>5</w:t>
            </w:r>
          </w:p>
        </w:tc>
      </w:tr>
      <w:tr w:rsidR="00244A22" w:rsidRPr="004342C8" w14:paraId="53386E7A" w14:textId="77777777" w:rsidTr="0096564C">
        <w:trPr>
          <w:tblCellSpacing w:w="15" w:type="dxa"/>
        </w:trPr>
        <w:tc>
          <w:tcPr>
            <w:tcW w:w="2800" w:type="dxa"/>
            <w:vAlign w:val="center"/>
            <w:hideMark/>
          </w:tcPr>
          <w:p w14:paraId="40085144" w14:textId="77777777" w:rsidR="00244A22" w:rsidRPr="004342C8" w:rsidRDefault="00244A22" w:rsidP="00117458">
            <w:r w:rsidRPr="004342C8">
              <w:rPr>
                <w:b/>
                <w:bCs/>
              </w:rPr>
              <w:t>Willingness to Raise Precept</w:t>
            </w:r>
          </w:p>
        </w:tc>
        <w:tc>
          <w:tcPr>
            <w:tcW w:w="2228" w:type="dxa"/>
            <w:vAlign w:val="center"/>
            <w:hideMark/>
          </w:tcPr>
          <w:p w14:paraId="1A22755F" w14:textId="77777777" w:rsidR="00244A22" w:rsidRPr="004342C8" w:rsidRDefault="00244A22" w:rsidP="00117458">
            <w:r w:rsidRPr="004342C8">
              <w:t>Yes</w:t>
            </w:r>
          </w:p>
        </w:tc>
        <w:tc>
          <w:tcPr>
            <w:tcW w:w="1388" w:type="dxa"/>
            <w:vAlign w:val="center"/>
            <w:hideMark/>
          </w:tcPr>
          <w:p w14:paraId="36FD84EB" w14:textId="77777777" w:rsidR="00244A22" w:rsidRPr="004342C8" w:rsidRDefault="00244A22" w:rsidP="00117458">
            <w:r w:rsidRPr="004342C8">
              <w:t>4</w:t>
            </w:r>
          </w:p>
        </w:tc>
        <w:tc>
          <w:tcPr>
            <w:tcW w:w="1104" w:type="dxa"/>
            <w:vAlign w:val="center"/>
            <w:hideMark/>
          </w:tcPr>
          <w:p w14:paraId="36E1092F" w14:textId="77777777" w:rsidR="00244A22" w:rsidRPr="004342C8" w:rsidRDefault="00244A22" w:rsidP="00117458">
            <w:r w:rsidRPr="004342C8">
              <w:t>10</w:t>
            </w:r>
          </w:p>
        </w:tc>
        <w:tc>
          <w:tcPr>
            <w:tcW w:w="1326" w:type="dxa"/>
            <w:vAlign w:val="center"/>
            <w:hideMark/>
          </w:tcPr>
          <w:p w14:paraId="722A136F" w14:textId="77777777" w:rsidR="00244A22" w:rsidRPr="004342C8" w:rsidRDefault="00244A22" w:rsidP="00117458">
            <w:r w:rsidRPr="004342C8">
              <w:t>3</w:t>
            </w:r>
          </w:p>
        </w:tc>
      </w:tr>
      <w:tr w:rsidR="00244A22" w:rsidRPr="004342C8" w14:paraId="43C2B47C" w14:textId="77777777" w:rsidTr="0096564C">
        <w:trPr>
          <w:tblCellSpacing w:w="15" w:type="dxa"/>
        </w:trPr>
        <w:tc>
          <w:tcPr>
            <w:tcW w:w="2800" w:type="dxa"/>
            <w:vAlign w:val="center"/>
            <w:hideMark/>
          </w:tcPr>
          <w:p w14:paraId="36F3208D" w14:textId="77777777" w:rsidR="00244A22" w:rsidRPr="004342C8" w:rsidRDefault="00244A22" w:rsidP="00117458"/>
        </w:tc>
        <w:tc>
          <w:tcPr>
            <w:tcW w:w="2228" w:type="dxa"/>
            <w:vAlign w:val="center"/>
            <w:hideMark/>
          </w:tcPr>
          <w:p w14:paraId="2834A015" w14:textId="77777777" w:rsidR="00244A22" w:rsidRPr="004342C8" w:rsidRDefault="00244A22" w:rsidP="00117458">
            <w:r w:rsidRPr="004342C8">
              <w:t>Not sure</w:t>
            </w:r>
          </w:p>
        </w:tc>
        <w:tc>
          <w:tcPr>
            <w:tcW w:w="1388" w:type="dxa"/>
            <w:vAlign w:val="center"/>
            <w:hideMark/>
          </w:tcPr>
          <w:p w14:paraId="05EE1DD3" w14:textId="77777777" w:rsidR="00244A22" w:rsidRPr="004342C8" w:rsidRDefault="00244A22" w:rsidP="00117458">
            <w:r w:rsidRPr="004342C8">
              <w:t>11</w:t>
            </w:r>
          </w:p>
        </w:tc>
        <w:tc>
          <w:tcPr>
            <w:tcW w:w="1104" w:type="dxa"/>
            <w:vAlign w:val="center"/>
            <w:hideMark/>
          </w:tcPr>
          <w:p w14:paraId="1AFAD31D" w14:textId="77777777" w:rsidR="00244A22" w:rsidRPr="004342C8" w:rsidRDefault="00244A22" w:rsidP="00117458">
            <w:r w:rsidRPr="004342C8">
              <w:t>23</w:t>
            </w:r>
          </w:p>
        </w:tc>
        <w:tc>
          <w:tcPr>
            <w:tcW w:w="1326" w:type="dxa"/>
            <w:vAlign w:val="center"/>
            <w:hideMark/>
          </w:tcPr>
          <w:p w14:paraId="2381C080" w14:textId="77777777" w:rsidR="00244A22" w:rsidRPr="004342C8" w:rsidRDefault="00244A22" w:rsidP="00117458">
            <w:r w:rsidRPr="004342C8">
              <w:t>7</w:t>
            </w:r>
          </w:p>
        </w:tc>
      </w:tr>
      <w:tr w:rsidR="00244A22" w:rsidRPr="004342C8" w14:paraId="0D575FD0" w14:textId="77777777" w:rsidTr="0096564C">
        <w:trPr>
          <w:tblCellSpacing w:w="15" w:type="dxa"/>
        </w:trPr>
        <w:tc>
          <w:tcPr>
            <w:tcW w:w="2800" w:type="dxa"/>
            <w:vAlign w:val="center"/>
            <w:hideMark/>
          </w:tcPr>
          <w:p w14:paraId="1F92C58D" w14:textId="77777777" w:rsidR="00244A22" w:rsidRPr="004342C8" w:rsidRDefault="00244A22" w:rsidP="00117458"/>
        </w:tc>
        <w:tc>
          <w:tcPr>
            <w:tcW w:w="2228" w:type="dxa"/>
            <w:vAlign w:val="center"/>
            <w:hideMark/>
          </w:tcPr>
          <w:p w14:paraId="5CB17728" w14:textId="77777777" w:rsidR="00244A22" w:rsidRPr="004342C8" w:rsidRDefault="00244A22" w:rsidP="00117458">
            <w:r w:rsidRPr="004342C8">
              <w:t>No</w:t>
            </w:r>
          </w:p>
        </w:tc>
        <w:tc>
          <w:tcPr>
            <w:tcW w:w="1388" w:type="dxa"/>
            <w:vAlign w:val="center"/>
            <w:hideMark/>
          </w:tcPr>
          <w:p w14:paraId="1F351792" w14:textId="77777777" w:rsidR="00244A22" w:rsidRPr="004342C8" w:rsidRDefault="00244A22" w:rsidP="00117458">
            <w:r w:rsidRPr="004342C8">
              <w:t>2</w:t>
            </w:r>
          </w:p>
        </w:tc>
        <w:tc>
          <w:tcPr>
            <w:tcW w:w="1104" w:type="dxa"/>
            <w:vAlign w:val="center"/>
            <w:hideMark/>
          </w:tcPr>
          <w:p w14:paraId="52D5EDF1" w14:textId="77777777" w:rsidR="00244A22" w:rsidRPr="004342C8" w:rsidRDefault="00244A22" w:rsidP="00117458">
            <w:r w:rsidRPr="004342C8">
              <w:t>12</w:t>
            </w:r>
          </w:p>
        </w:tc>
        <w:tc>
          <w:tcPr>
            <w:tcW w:w="1326" w:type="dxa"/>
            <w:vAlign w:val="center"/>
            <w:hideMark/>
          </w:tcPr>
          <w:p w14:paraId="74160F57" w14:textId="77777777" w:rsidR="00244A22" w:rsidRPr="004342C8" w:rsidRDefault="00244A22" w:rsidP="00117458">
            <w:r w:rsidRPr="004342C8">
              <w:t>0</w:t>
            </w:r>
          </w:p>
        </w:tc>
      </w:tr>
      <w:tr w:rsidR="00244A22" w:rsidRPr="004342C8" w14:paraId="508B8D17" w14:textId="77777777" w:rsidTr="0096564C">
        <w:trPr>
          <w:tblCellSpacing w:w="15" w:type="dxa"/>
        </w:trPr>
        <w:tc>
          <w:tcPr>
            <w:tcW w:w="2800" w:type="dxa"/>
            <w:vAlign w:val="center"/>
            <w:hideMark/>
          </w:tcPr>
          <w:p w14:paraId="6C0374EB" w14:textId="77777777" w:rsidR="00244A22" w:rsidRPr="004342C8" w:rsidRDefault="00244A22" w:rsidP="00117458"/>
        </w:tc>
        <w:tc>
          <w:tcPr>
            <w:tcW w:w="2228" w:type="dxa"/>
            <w:vAlign w:val="center"/>
            <w:hideMark/>
          </w:tcPr>
          <w:p w14:paraId="5BA94AB7" w14:textId="77777777" w:rsidR="00244A22" w:rsidRPr="004342C8" w:rsidRDefault="00244A22" w:rsidP="00117458">
            <w:r w:rsidRPr="004342C8">
              <w:t>Unsure</w:t>
            </w:r>
          </w:p>
        </w:tc>
        <w:tc>
          <w:tcPr>
            <w:tcW w:w="1388" w:type="dxa"/>
            <w:vAlign w:val="center"/>
            <w:hideMark/>
          </w:tcPr>
          <w:p w14:paraId="08A42553" w14:textId="77777777" w:rsidR="00244A22" w:rsidRPr="004342C8" w:rsidRDefault="00244A22" w:rsidP="00117458">
            <w:r w:rsidRPr="004342C8">
              <w:t>0</w:t>
            </w:r>
          </w:p>
        </w:tc>
        <w:tc>
          <w:tcPr>
            <w:tcW w:w="1104" w:type="dxa"/>
            <w:vAlign w:val="center"/>
            <w:hideMark/>
          </w:tcPr>
          <w:p w14:paraId="1C38A8A3" w14:textId="77777777" w:rsidR="00244A22" w:rsidRPr="004342C8" w:rsidRDefault="00244A22" w:rsidP="00117458">
            <w:r w:rsidRPr="004342C8">
              <w:t>0</w:t>
            </w:r>
          </w:p>
        </w:tc>
        <w:tc>
          <w:tcPr>
            <w:tcW w:w="1326" w:type="dxa"/>
            <w:vAlign w:val="center"/>
            <w:hideMark/>
          </w:tcPr>
          <w:p w14:paraId="44AA33A1" w14:textId="77777777" w:rsidR="00244A22" w:rsidRPr="004342C8" w:rsidRDefault="00244A22" w:rsidP="00117458">
            <w:r w:rsidRPr="004342C8">
              <w:t>1</w:t>
            </w:r>
          </w:p>
        </w:tc>
      </w:tr>
      <w:tr w:rsidR="00244A22" w:rsidRPr="004342C8" w14:paraId="7EE4C1B2" w14:textId="77777777" w:rsidTr="0096564C">
        <w:trPr>
          <w:tblCellSpacing w:w="15" w:type="dxa"/>
        </w:trPr>
        <w:tc>
          <w:tcPr>
            <w:tcW w:w="2800" w:type="dxa"/>
            <w:vAlign w:val="center"/>
            <w:hideMark/>
          </w:tcPr>
          <w:p w14:paraId="14B090E3" w14:textId="77777777" w:rsidR="00244A22" w:rsidRPr="004342C8" w:rsidRDefault="00244A22" w:rsidP="00117458">
            <w:r w:rsidRPr="004342C8">
              <w:rPr>
                <w:b/>
                <w:bCs/>
              </w:rPr>
              <w:t>Openness to Collaboration</w:t>
            </w:r>
          </w:p>
        </w:tc>
        <w:tc>
          <w:tcPr>
            <w:tcW w:w="2228" w:type="dxa"/>
            <w:vAlign w:val="center"/>
            <w:hideMark/>
          </w:tcPr>
          <w:p w14:paraId="54B30CA9" w14:textId="77777777" w:rsidR="00244A22" w:rsidRPr="004342C8" w:rsidRDefault="00244A22" w:rsidP="00117458">
            <w:r w:rsidRPr="004342C8">
              <w:t>Yes</w:t>
            </w:r>
          </w:p>
        </w:tc>
        <w:tc>
          <w:tcPr>
            <w:tcW w:w="1388" w:type="dxa"/>
            <w:vAlign w:val="center"/>
            <w:hideMark/>
          </w:tcPr>
          <w:p w14:paraId="73F99212" w14:textId="77777777" w:rsidR="00244A22" w:rsidRPr="004342C8" w:rsidRDefault="00244A22" w:rsidP="00117458">
            <w:r w:rsidRPr="004342C8">
              <w:t>5</w:t>
            </w:r>
          </w:p>
        </w:tc>
        <w:tc>
          <w:tcPr>
            <w:tcW w:w="1104" w:type="dxa"/>
            <w:vAlign w:val="center"/>
            <w:hideMark/>
          </w:tcPr>
          <w:p w14:paraId="4865C535" w14:textId="77777777" w:rsidR="00244A22" w:rsidRPr="004342C8" w:rsidRDefault="00244A22" w:rsidP="00117458">
            <w:r w:rsidRPr="004342C8">
              <w:t>16</w:t>
            </w:r>
          </w:p>
        </w:tc>
        <w:tc>
          <w:tcPr>
            <w:tcW w:w="1326" w:type="dxa"/>
            <w:vAlign w:val="center"/>
            <w:hideMark/>
          </w:tcPr>
          <w:p w14:paraId="034B6816" w14:textId="77777777" w:rsidR="00244A22" w:rsidRPr="004342C8" w:rsidRDefault="00244A22" w:rsidP="00117458">
            <w:r w:rsidRPr="004342C8">
              <w:t>6</w:t>
            </w:r>
          </w:p>
        </w:tc>
      </w:tr>
      <w:tr w:rsidR="00244A22" w:rsidRPr="004342C8" w14:paraId="21387D5B" w14:textId="77777777" w:rsidTr="0096564C">
        <w:trPr>
          <w:tblCellSpacing w:w="15" w:type="dxa"/>
        </w:trPr>
        <w:tc>
          <w:tcPr>
            <w:tcW w:w="2800" w:type="dxa"/>
            <w:vAlign w:val="center"/>
            <w:hideMark/>
          </w:tcPr>
          <w:p w14:paraId="28E7C23A" w14:textId="77777777" w:rsidR="00244A22" w:rsidRPr="004342C8" w:rsidRDefault="00244A22" w:rsidP="00117458"/>
        </w:tc>
        <w:tc>
          <w:tcPr>
            <w:tcW w:w="2228" w:type="dxa"/>
            <w:vAlign w:val="center"/>
            <w:hideMark/>
          </w:tcPr>
          <w:p w14:paraId="5E12FF83" w14:textId="77777777" w:rsidR="00244A22" w:rsidRPr="004342C8" w:rsidRDefault="00244A22" w:rsidP="00117458">
            <w:r w:rsidRPr="004342C8">
              <w:t>Possibly</w:t>
            </w:r>
          </w:p>
        </w:tc>
        <w:tc>
          <w:tcPr>
            <w:tcW w:w="1388" w:type="dxa"/>
            <w:vAlign w:val="center"/>
            <w:hideMark/>
          </w:tcPr>
          <w:p w14:paraId="19E139A1" w14:textId="77777777" w:rsidR="00244A22" w:rsidRPr="004342C8" w:rsidRDefault="00244A22" w:rsidP="00117458">
            <w:r w:rsidRPr="004342C8">
              <w:t>11</w:t>
            </w:r>
          </w:p>
        </w:tc>
        <w:tc>
          <w:tcPr>
            <w:tcW w:w="1104" w:type="dxa"/>
            <w:vAlign w:val="center"/>
            <w:hideMark/>
          </w:tcPr>
          <w:p w14:paraId="706CA4AF" w14:textId="77777777" w:rsidR="00244A22" w:rsidRPr="004342C8" w:rsidRDefault="00244A22" w:rsidP="00117458">
            <w:r w:rsidRPr="004342C8">
              <w:t>25</w:t>
            </w:r>
          </w:p>
        </w:tc>
        <w:tc>
          <w:tcPr>
            <w:tcW w:w="1326" w:type="dxa"/>
            <w:vAlign w:val="center"/>
            <w:hideMark/>
          </w:tcPr>
          <w:p w14:paraId="12F6CD8E" w14:textId="77777777" w:rsidR="00244A22" w:rsidRPr="004342C8" w:rsidRDefault="00244A22" w:rsidP="00117458">
            <w:r w:rsidRPr="004342C8">
              <w:t>7</w:t>
            </w:r>
          </w:p>
        </w:tc>
      </w:tr>
      <w:tr w:rsidR="00244A22" w:rsidRPr="004342C8" w14:paraId="730070F5" w14:textId="77777777" w:rsidTr="0096564C">
        <w:trPr>
          <w:tblCellSpacing w:w="15" w:type="dxa"/>
        </w:trPr>
        <w:tc>
          <w:tcPr>
            <w:tcW w:w="2800" w:type="dxa"/>
            <w:vAlign w:val="center"/>
            <w:hideMark/>
          </w:tcPr>
          <w:p w14:paraId="0F2DCB74" w14:textId="77777777" w:rsidR="00244A22" w:rsidRPr="004342C8" w:rsidRDefault="00244A22" w:rsidP="00117458"/>
        </w:tc>
        <w:tc>
          <w:tcPr>
            <w:tcW w:w="2228" w:type="dxa"/>
            <w:vAlign w:val="center"/>
            <w:hideMark/>
          </w:tcPr>
          <w:p w14:paraId="6AE2C7E0" w14:textId="77777777" w:rsidR="00244A22" w:rsidRPr="004342C8" w:rsidRDefault="00244A22" w:rsidP="00117458">
            <w:r w:rsidRPr="004342C8">
              <w:t>No</w:t>
            </w:r>
          </w:p>
        </w:tc>
        <w:tc>
          <w:tcPr>
            <w:tcW w:w="1388" w:type="dxa"/>
            <w:vAlign w:val="center"/>
            <w:hideMark/>
          </w:tcPr>
          <w:p w14:paraId="191AD90F" w14:textId="77777777" w:rsidR="00244A22" w:rsidRPr="004342C8" w:rsidRDefault="00244A22" w:rsidP="00117458">
            <w:r w:rsidRPr="004342C8">
              <w:t>1</w:t>
            </w:r>
          </w:p>
        </w:tc>
        <w:tc>
          <w:tcPr>
            <w:tcW w:w="1104" w:type="dxa"/>
            <w:vAlign w:val="center"/>
            <w:hideMark/>
          </w:tcPr>
          <w:p w14:paraId="3605D184" w14:textId="77777777" w:rsidR="00244A22" w:rsidRPr="004342C8" w:rsidRDefault="00244A22" w:rsidP="00117458">
            <w:r w:rsidRPr="004342C8">
              <w:t>4</w:t>
            </w:r>
          </w:p>
        </w:tc>
        <w:tc>
          <w:tcPr>
            <w:tcW w:w="1326" w:type="dxa"/>
            <w:vAlign w:val="center"/>
            <w:hideMark/>
          </w:tcPr>
          <w:p w14:paraId="18439038" w14:textId="77777777" w:rsidR="00244A22" w:rsidRPr="004342C8" w:rsidRDefault="00244A22" w:rsidP="00117458">
            <w:r w:rsidRPr="004342C8">
              <w:t>0</w:t>
            </w:r>
          </w:p>
        </w:tc>
      </w:tr>
      <w:tr w:rsidR="00244A22" w:rsidRPr="004342C8" w14:paraId="2E81AECD" w14:textId="77777777" w:rsidTr="0096564C">
        <w:trPr>
          <w:tblCellSpacing w:w="15" w:type="dxa"/>
        </w:trPr>
        <w:tc>
          <w:tcPr>
            <w:tcW w:w="2800" w:type="dxa"/>
            <w:vAlign w:val="center"/>
            <w:hideMark/>
          </w:tcPr>
          <w:p w14:paraId="72FA652E" w14:textId="77777777" w:rsidR="00244A22" w:rsidRPr="004342C8" w:rsidRDefault="00244A22" w:rsidP="00117458">
            <w:r w:rsidRPr="004342C8">
              <w:rPr>
                <w:b/>
                <w:bCs/>
              </w:rPr>
              <w:t>Preferred Governance Model</w:t>
            </w:r>
          </w:p>
        </w:tc>
        <w:tc>
          <w:tcPr>
            <w:tcW w:w="2228" w:type="dxa"/>
            <w:vAlign w:val="center"/>
            <w:hideMark/>
          </w:tcPr>
          <w:p w14:paraId="0B08916C" w14:textId="77777777" w:rsidR="00244A22" w:rsidRPr="004342C8" w:rsidRDefault="00244A22" w:rsidP="00117458">
            <w:r w:rsidRPr="004342C8">
              <w:t>Direct representation by parish/town councils</w:t>
            </w:r>
          </w:p>
        </w:tc>
        <w:tc>
          <w:tcPr>
            <w:tcW w:w="1388" w:type="dxa"/>
            <w:vAlign w:val="center"/>
            <w:hideMark/>
          </w:tcPr>
          <w:p w14:paraId="62BF8B83" w14:textId="77777777" w:rsidR="00244A22" w:rsidRPr="004342C8" w:rsidRDefault="00244A22" w:rsidP="00117458">
            <w:r w:rsidRPr="004342C8">
              <w:t>4</w:t>
            </w:r>
          </w:p>
        </w:tc>
        <w:tc>
          <w:tcPr>
            <w:tcW w:w="1104" w:type="dxa"/>
            <w:vAlign w:val="center"/>
            <w:hideMark/>
          </w:tcPr>
          <w:p w14:paraId="69581207" w14:textId="77777777" w:rsidR="00244A22" w:rsidRPr="004342C8" w:rsidRDefault="00244A22" w:rsidP="00117458">
            <w:r w:rsidRPr="004342C8">
              <w:t>16</w:t>
            </w:r>
          </w:p>
        </w:tc>
        <w:tc>
          <w:tcPr>
            <w:tcW w:w="1326" w:type="dxa"/>
            <w:vAlign w:val="center"/>
            <w:hideMark/>
          </w:tcPr>
          <w:p w14:paraId="72B896E4" w14:textId="77777777" w:rsidR="00244A22" w:rsidRPr="004342C8" w:rsidRDefault="00244A22" w:rsidP="00117458">
            <w:r w:rsidRPr="004342C8">
              <w:t>2</w:t>
            </w:r>
          </w:p>
        </w:tc>
      </w:tr>
      <w:tr w:rsidR="00244A22" w:rsidRPr="004342C8" w14:paraId="4638D5EC" w14:textId="77777777" w:rsidTr="0096564C">
        <w:trPr>
          <w:tblCellSpacing w:w="15" w:type="dxa"/>
        </w:trPr>
        <w:tc>
          <w:tcPr>
            <w:tcW w:w="2800" w:type="dxa"/>
            <w:vAlign w:val="center"/>
            <w:hideMark/>
          </w:tcPr>
          <w:p w14:paraId="401BBF9F" w14:textId="77777777" w:rsidR="00244A22" w:rsidRPr="004342C8" w:rsidRDefault="00244A22" w:rsidP="00117458"/>
        </w:tc>
        <w:tc>
          <w:tcPr>
            <w:tcW w:w="2228" w:type="dxa"/>
            <w:vAlign w:val="center"/>
            <w:hideMark/>
          </w:tcPr>
          <w:p w14:paraId="039305BD" w14:textId="77777777" w:rsidR="00244A22" w:rsidRPr="004342C8" w:rsidRDefault="00244A22" w:rsidP="00117458">
            <w:r w:rsidRPr="004342C8">
              <w:t>Joint committees with district/county</w:t>
            </w:r>
          </w:p>
        </w:tc>
        <w:tc>
          <w:tcPr>
            <w:tcW w:w="1388" w:type="dxa"/>
            <w:vAlign w:val="center"/>
            <w:hideMark/>
          </w:tcPr>
          <w:p w14:paraId="3A4FE85F" w14:textId="77777777" w:rsidR="00244A22" w:rsidRPr="004342C8" w:rsidRDefault="00244A22" w:rsidP="00117458">
            <w:r w:rsidRPr="004342C8">
              <w:t>0</w:t>
            </w:r>
          </w:p>
        </w:tc>
        <w:tc>
          <w:tcPr>
            <w:tcW w:w="1104" w:type="dxa"/>
            <w:vAlign w:val="center"/>
            <w:hideMark/>
          </w:tcPr>
          <w:p w14:paraId="26924DA5" w14:textId="77777777" w:rsidR="00244A22" w:rsidRPr="004342C8" w:rsidRDefault="00244A22" w:rsidP="00117458">
            <w:r w:rsidRPr="004342C8">
              <w:t>1</w:t>
            </w:r>
          </w:p>
        </w:tc>
        <w:tc>
          <w:tcPr>
            <w:tcW w:w="1326" w:type="dxa"/>
            <w:vAlign w:val="center"/>
            <w:hideMark/>
          </w:tcPr>
          <w:p w14:paraId="55B97135" w14:textId="77777777" w:rsidR="00244A22" w:rsidRPr="004342C8" w:rsidRDefault="00244A22" w:rsidP="00117458">
            <w:r w:rsidRPr="004342C8">
              <w:t>1</w:t>
            </w:r>
          </w:p>
        </w:tc>
      </w:tr>
      <w:tr w:rsidR="00244A22" w:rsidRPr="004342C8" w14:paraId="2A179DDA" w14:textId="77777777" w:rsidTr="0096564C">
        <w:trPr>
          <w:tblCellSpacing w:w="15" w:type="dxa"/>
        </w:trPr>
        <w:tc>
          <w:tcPr>
            <w:tcW w:w="2800" w:type="dxa"/>
            <w:vAlign w:val="center"/>
            <w:hideMark/>
          </w:tcPr>
          <w:p w14:paraId="0D738625" w14:textId="77777777" w:rsidR="00244A22" w:rsidRPr="004342C8" w:rsidRDefault="00244A22" w:rsidP="00117458"/>
        </w:tc>
        <w:tc>
          <w:tcPr>
            <w:tcW w:w="2228" w:type="dxa"/>
            <w:vAlign w:val="center"/>
            <w:hideMark/>
          </w:tcPr>
          <w:p w14:paraId="23EDF0E4" w14:textId="77777777" w:rsidR="00244A22" w:rsidRPr="004342C8" w:rsidRDefault="00244A22" w:rsidP="00117458">
            <w:r w:rsidRPr="004342C8">
              <w:t>New representative body</w:t>
            </w:r>
          </w:p>
        </w:tc>
        <w:tc>
          <w:tcPr>
            <w:tcW w:w="1388" w:type="dxa"/>
            <w:vAlign w:val="center"/>
            <w:hideMark/>
          </w:tcPr>
          <w:p w14:paraId="7A3F1E2F" w14:textId="77777777" w:rsidR="00244A22" w:rsidRPr="004342C8" w:rsidRDefault="00244A22" w:rsidP="00117458">
            <w:r w:rsidRPr="004342C8">
              <w:t>2</w:t>
            </w:r>
          </w:p>
        </w:tc>
        <w:tc>
          <w:tcPr>
            <w:tcW w:w="1104" w:type="dxa"/>
            <w:vAlign w:val="center"/>
            <w:hideMark/>
          </w:tcPr>
          <w:p w14:paraId="6275FC97" w14:textId="77777777" w:rsidR="00244A22" w:rsidRPr="004342C8" w:rsidRDefault="00244A22" w:rsidP="00117458">
            <w:r w:rsidRPr="004342C8">
              <w:t>3</w:t>
            </w:r>
          </w:p>
        </w:tc>
        <w:tc>
          <w:tcPr>
            <w:tcW w:w="1326" w:type="dxa"/>
            <w:vAlign w:val="center"/>
            <w:hideMark/>
          </w:tcPr>
          <w:p w14:paraId="63680F16" w14:textId="77777777" w:rsidR="00244A22" w:rsidRPr="004342C8" w:rsidRDefault="00244A22" w:rsidP="00117458">
            <w:r w:rsidRPr="004342C8">
              <w:t>1</w:t>
            </w:r>
          </w:p>
        </w:tc>
      </w:tr>
      <w:tr w:rsidR="00244A22" w:rsidRPr="004342C8" w14:paraId="4D654F65" w14:textId="77777777" w:rsidTr="0096564C">
        <w:trPr>
          <w:tblCellSpacing w:w="15" w:type="dxa"/>
        </w:trPr>
        <w:tc>
          <w:tcPr>
            <w:tcW w:w="2800" w:type="dxa"/>
            <w:vAlign w:val="center"/>
            <w:hideMark/>
          </w:tcPr>
          <w:p w14:paraId="670F8C62" w14:textId="77777777" w:rsidR="00244A22" w:rsidRPr="004342C8" w:rsidRDefault="00244A22" w:rsidP="00117458"/>
        </w:tc>
        <w:tc>
          <w:tcPr>
            <w:tcW w:w="2228" w:type="dxa"/>
            <w:vAlign w:val="center"/>
            <w:hideMark/>
          </w:tcPr>
          <w:p w14:paraId="5A8983C9" w14:textId="77777777" w:rsidR="00244A22" w:rsidRPr="004342C8" w:rsidRDefault="00244A22" w:rsidP="00117458">
            <w:r w:rsidRPr="004342C8">
              <w:t>Direct model (unspecified)</w:t>
            </w:r>
          </w:p>
        </w:tc>
        <w:tc>
          <w:tcPr>
            <w:tcW w:w="1388" w:type="dxa"/>
            <w:vAlign w:val="center"/>
            <w:hideMark/>
          </w:tcPr>
          <w:p w14:paraId="68919D58" w14:textId="77777777" w:rsidR="00244A22" w:rsidRPr="004342C8" w:rsidRDefault="00244A22" w:rsidP="00117458">
            <w:r w:rsidRPr="004342C8">
              <w:t>0</w:t>
            </w:r>
          </w:p>
        </w:tc>
        <w:tc>
          <w:tcPr>
            <w:tcW w:w="1104" w:type="dxa"/>
            <w:vAlign w:val="center"/>
            <w:hideMark/>
          </w:tcPr>
          <w:p w14:paraId="354E2551" w14:textId="77777777" w:rsidR="00244A22" w:rsidRPr="004342C8" w:rsidRDefault="00244A22" w:rsidP="00117458">
            <w:r w:rsidRPr="004342C8">
              <w:t>3</w:t>
            </w:r>
          </w:p>
        </w:tc>
        <w:tc>
          <w:tcPr>
            <w:tcW w:w="1326" w:type="dxa"/>
            <w:vAlign w:val="center"/>
            <w:hideMark/>
          </w:tcPr>
          <w:p w14:paraId="11FA60EE" w14:textId="77777777" w:rsidR="00244A22" w:rsidRPr="004342C8" w:rsidRDefault="00244A22" w:rsidP="00117458">
            <w:r w:rsidRPr="004342C8">
              <w:t>0</w:t>
            </w:r>
          </w:p>
        </w:tc>
      </w:tr>
      <w:tr w:rsidR="00244A22" w:rsidRPr="004342C8" w14:paraId="709BF8AB" w14:textId="77777777" w:rsidTr="0096564C">
        <w:trPr>
          <w:tblCellSpacing w:w="15" w:type="dxa"/>
        </w:trPr>
        <w:tc>
          <w:tcPr>
            <w:tcW w:w="2800" w:type="dxa"/>
            <w:vAlign w:val="center"/>
            <w:hideMark/>
          </w:tcPr>
          <w:p w14:paraId="42A3B3BA" w14:textId="77777777" w:rsidR="00244A22" w:rsidRPr="004342C8" w:rsidRDefault="00244A22" w:rsidP="00117458"/>
        </w:tc>
        <w:tc>
          <w:tcPr>
            <w:tcW w:w="2228" w:type="dxa"/>
            <w:vAlign w:val="center"/>
            <w:hideMark/>
          </w:tcPr>
          <w:p w14:paraId="1D32BED7" w14:textId="77777777" w:rsidR="00244A22" w:rsidRPr="004342C8" w:rsidRDefault="00244A22" w:rsidP="00117458">
            <w:r w:rsidRPr="004342C8">
              <w:t>Direct model with clarity/models needed</w:t>
            </w:r>
          </w:p>
        </w:tc>
        <w:tc>
          <w:tcPr>
            <w:tcW w:w="1388" w:type="dxa"/>
            <w:vAlign w:val="center"/>
            <w:hideMark/>
          </w:tcPr>
          <w:p w14:paraId="3ECFF088" w14:textId="77777777" w:rsidR="00244A22" w:rsidRPr="004342C8" w:rsidRDefault="00244A22" w:rsidP="00117458">
            <w:r w:rsidRPr="004342C8">
              <w:t>0</w:t>
            </w:r>
          </w:p>
        </w:tc>
        <w:tc>
          <w:tcPr>
            <w:tcW w:w="1104" w:type="dxa"/>
            <w:vAlign w:val="center"/>
            <w:hideMark/>
          </w:tcPr>
          <w:p w14:paraId="4A4B749C" w14:textId="77777777" w:rsidR="00244A22" w:rsidRPr="004342C8" w:rsidRDefault="00244A22" w:rsidP="00117458">
            <w:r w:rsidRPr="004342C8">
              <w:t>0</w:t>
            </w:r>
          </w:p>
        </w:tc>
        <w:tc>
          <w:tcPr>
            <w:tcW w:w="1326" w:type="dxa"/>
            <w:vAlign w:val="center"/>
            <w:hideMark/>
          </w:tcPr>
          <w:p w14:paraId="4BC57164" w14:textId="77777777" w:rsidR="00244A22" w:rsidRPr="004342C8" w:rsidRDefault="00244A22" w:rsidP="00117458">
            <w:r w:rsidRPr="004342C8">
              <w:t>1</w:t>
            </w:r>
          </w:p>
        </w:tc>
      </w:tr>
      <w:tr w:rsidR="00244A22" w:rsidRPr="004342C8" w14:paraId="1FDA6B25" w14:textId="77777777" w:rsidTr="0096564C">
        <w:trPr>
          <w:tblCellSpacing w:w="15" w:type="dxa"/>
        </w:trPr>
        <w:tc>
          <w:tcPr>
            <w:tcW w:w="2800" w:type="dxa"/>
            <w:vAlign w:val="center"/>
            <w:hideMark/>
          </w:tcPr>
          <w:p w14:paraId="2A9FB52E" w14:textId="77777777" w:rsidR="00244A22" w:rsidRPr="004342C8" w:rsidRDefault="00244A22" w:rsidP="00117458"/>
        </w:tc>
        <w:tc>
          <w:tcPr>
            <w:tcW w:w="2228" w:type="dxa"/>
            <w:vAlign w:val="center"/>
            <w:hideMark/>
          </w:tcPr>
          <w:p w14:paraId="4BF65F55" w14:textId="77777777" w:rsidR="00244A22" w:rsidRPr="004342C8" w:rsidRDefault="00244A22" w:rsidP="00117458">
            <w:r w:rsidRPr="004342C8">
              <w:t>Unsure</w:t>
            </w:r>
          </w:p>
        </w:tc>
        <w:tc>
          <w:tcPr>
            <w:tcW w:w="1388" w:type="dxa"/>
            <w:vAlign w:val="center"/>
            <w:hideMark/>
          </w:tcPr>
          <w:p w14:paraId="45B40D81" w14:textId="77777777" w:rsidR="00244A22" w:rsidRPr="004342C8" w:rsidRDefault="00244A22" w:rsidP="00117458">
            <w:r w:rsidRPr="004342C8">
              <w:t>11</w:t>
            </w:r>
          </w:p>
        </w:tc>
        <w:tc>
          <w:tcPr>
            <w:tcW w:w="1104" w:type="dxa"/>
            <w:vAlign w:val="center"/>
            <w:hideMark/>
          </w:tcPr>
          <w:p w14:paraId="2776EE99" w14:textId="77777777" w:rsidR="00244A22" w:rsidRPr="004342C8" w:rsidRDefault="00244A22" w:rsidP="00117458">
            <w:r w:rsidRPr="004342C8">
              <w:t>22</w:t>
            </w:r>
          </w:p>
        </w:tc>
        <w:tc>
          <w:tcPr>
            <w:tcW w:w="1326" w:type="dxa"/>
            <w:vAlign w:val="center"/>
            <w:hideMark/>
          </w:tcPr>
          <w:p w14:paraId="18AC2A2B" w14:textId="77777777" w:rsidR="00244A22" w:rsidRPr="004342C8" w:rsidRDefault="00244A22" w:rsidP="00117458">
            <w:r w:rsidRPr="004342C8">
              <w:t>8</w:t>
            </w:r>
          </w:p>
        </w:tc>
      </w:tr>
    </w:tbl>
    <w:p w14:paraId="194D34C6" w14:textId="77777777" w:rsidR="00244A22" w:rsidRDefault="00244A22" w:rsidP="00244A22"/>
    <w:p w14:paraId="41EE4A99" w14:textId="3CC60341" w:rsidR="00244A22" w:rsidRPr="00C72315" w:rsidRDefault="00244A22" w:rsidP="00244A22">
      <w:pPr>
        <w:rPr>
          <w:b/>
          <w:bCs/>
        </w:rPr>
      </w:pPr>
      <w:r w:rsidRPr="00C72315">
        <w:rPr>
          <w:b/>
          <w:bCs/>
        </w:rPr>
        <w:t>District Breakdown</w:t>
      </w:r>
    </w:p>
    <w:p w14:paraId="6DB0B209" w14:textId="77777777" w:rsidR="00244A22" w:rsidRDefault="00244A22" w:rsidP="00244A22">
      <w:r w:rsidRPr="00C72315">
        <w:t>Different districts face different demographic, geographic, and institutional contexts, which shape how councils perceive and prepare for devolution. This breakdown reveals district-level trends in council confidence, concerns, and preferences — providing a valuable lens for targeting conversations with principal authorities and shaping place-based support models.</w:t>
      </w:r>
    </w:p>
    <w:p w14:paraId="2EAAF709" w14:textId="1AA50B2B" w:rsidR="00244A22" w:rsidRPr="00C72315" w:rsidRDefault="00244A22" w:rsidP="00244A22">
      <w:r>
        <w:t>*</w:t>
      </w:r>
      <w:r w:rsidR="0096564C">
        <w:t>Full verified</w:t>
      </w:r>
      <w:r>
        <w:t xml:space="preserve"> response dataset used to gain a broader picture.</w:t>
      </w:r>
    </w:p>
    <w:p w14:paraId="6FD3E02B" w14:textId="77777777" w:rsidR="00244A22" w:rsidRDefault="00244A22" w:rsidP="00244A22">
      <w:r w:rsidRPr="00C72315">
        <w:rPr>
          <w:i/>
          <w:iCs/>
          <w:u w:val="single"/>
        </w:rPr>
        <w:t>Note</w:t>
      </w:r>
      <w:r>
        <w:t>: There is only one parish in Gloucester City, and five in Cheltenham Borough.</w:t>
      </w:r>
    </w:p>
    <w:p w14:paraId="2E4BD1E6" w14:textId="77777777" w:rsidR="00244A22" w:rsidRDefault="00244A22" w:rsidP="00244A22">
      <w:r>
        <w:t>CB = Cheltenham Borough</w:t>
      </w:r>
    </w:p>
    <w:p w14:paraId="2DC03D32" w14:textId="77777777" w:rsidR="00244A22" w:rsidRDefault="00244A22" w:rsidP="00244A22">
      <w:r>
        <w:t>CD = Cotswold District</w:t>
      </w:r>
    </w:p>
    <w:p w14:paraId="42F87C6F" w14:textId="77777777" w:rsidR="00244A22" w:rsidRDefault="00244A22" w:rsidP="00244A22">
      <w:r>
        <w:t>FoDD = Forest of Dean District</w:t>
      </w:r>
    </w:p>
    <w:p w14:paraId="51CA7CEC" w14:textId="77777777" w:rsidR="00244A22" w:rsidRDefault="00244A22" w:rsidP="00244A22">
      <w:r>
        <w:t>SD = Stroud District</w:t>
      </w:r>
    </w:p>
    <w:p w14:paraId="60275854" w14:textId="77777777" w:rsidR="00244A22" w:rsidRDefault="00244A22" w:rsidP="00244A22">
      <w:r>
        <w:t>TB = Tewkesbury Borough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2"/>
        <w:gridCol w:w="1838"/>
        <w:gridCol w:w="720"/>
        <w:gridCol w:w="709"/>
        <w:gridCol w:w="708"/>
        <w:gridCol w:w="1276"/>
        <w:gridCol w:w="851"/>
        <w:gridCol w:w="662"/>
      </w:tblGrid>
      <w:tr w:rsidR="00244A22" w:rsidRPr="00A9685F" w14:paraId="2BD179DC" w14:textId="77777777" w:rsidTr="00117458">
        <w:trPr>
          <w:tblHeader/>
          <w:tblCellSpacing w:w="15" w:type="dxa"/>
        </w:trPr>
        <w:tc>
          <w:tcPr>
            <w:tcW w:w="2217" w:type="dxa"/>
            <w:vAlign w:val="center"/>
            <w:hideMark/>
          </w:tcPr>
          <w:p w14:paraId="6D69B601" w14:textId="77777777" w:rsidR="00244A22" w:rsidRPr="00A9685F" w:rsidRDefault="00244A22" w:rsidP="00117458">
            <w:pPr>
              <w:rPr>
                <w:b/>
                <w:bCs/>
              </w:rPr>
            </w:pPr>
            <w:r w:rsidRPr="00A9685F">
              <w:rPr>
                <w:b/>
                <w:bCs/>
              </w:rPr>
              <w:t>Question Area</w:t>
            </w:r>
          </w:p>
        </w:tc>
        <w:tc>
          <w:tcPr>
            <w:tcW w:w="1808" w:type="dxa"/>
            <w:vAlign w:val="center"/>
            <w:hideMark/>
          </w:tcPr>
          <w:p w14:paraId="0B782DA4" w14:textId="77777777" w:rsidR="00244A22" w:rsidRPr="00A9685F" w:rsidRDefault="00244A22" w:rsidP="00117458">
            <w:pPr>
              <w:rPr>
                <w:b/>
                <w:bCs/>
              </w:rPr>
            </w:pPr>
            <w:r w:rsidRPr="00A9685F">
              <w:rPr>
                <w:b/>
                <w:bCs/>
              </w:rPr>
              <w:t>Response</w:t>
            </w:r>
          </w:p>
        </w:tc>
        <w:tc>
          <w:tcPr>
            <w:tcW w:w="690" w:type="dxa"/>
            <w:vAlign w:val="center"/>
            <w:hideMark/>
          </w:tcPr>
          <w:p w14:paraId="1C7BA800" w14:textId="77777777" w:rsidR="00244A22" w:rsidRPr="00A9685F" w:rsidRDefault="00244A22" w:rsidP="00117458">
            <w:pPr>
              <w:rPr>
                <w:b/>
                <w:bCs/>
              </w:rPr>
            </w:pPr>
            <w:r w:rsidRPr="00A9685F">
              <w:rPr>
                <w:b/>
                <w:bCs/>
              </w:rPr>
              <w:t>C</w:t>
            </w:r>
            <w:r>
              <w:rPr>
                <w:b/>
                <w:bCs/>
              </w:rPr>
              <w:t>B</w:t>
            </w:r>
          </w:p>
        </w:tc>
        <w:tc>
          <w:tcPr>
            <w:tcW w:w="679" w:type="dxa"/>
            <w:vAlign w:val="center"/>
            <w:hideMark/>
          </w:tcPr>
          <w:p w14:paraId="4EE8BD0C" w14:textId="77777777" w:rsidR="00244A22" w:rsidRPr="00A9685F" w:rsidRDefault="00244A22" w:rsidP="00117458">
            <w:pPr>
              <w:rPr>
                <w:b/>
                <w:bCs/>
              </w:rPr>
            </w:pPr>
            <w:r>
              <w:rPr>
                <w:b/>
                <w:bCs/>
              </w:rPr>
              <w:t>CD</w:t>
            </w:r>
          </w:p>
        </w:tc>
        <w:tc>
          <w:tcPr>
            <w:tcW w:w="678" w:type="dxa"/>
            <w:vAlign w:val="center"/>
            <w:hideMark/>
          </w:tcPr>
          <w:p w14:paraId="51A96647" w14:textId="77777777" w:rsidR="00244A22" w:rsidRPr="00A9685F" w:rsidRDefault="00244A22" w:rsidP="00117458">
            <w:pPr>
              <w:rPr>
                <w:b/>
                <w:bCs/>
              </w:rPr>
            </w:pPr>
            <w:r>
              <w:rPr>
                <w:b/>
                <w:bCs/>
              </w:rPr>
              <w:t>FoDD</w:t>
            </w:r>
          </w:p>
        </w:tc>
        <w:tc>
          <w:tcPr>
            <w:tcW w:w="1246" w:type="dxa"/>
            <w:vAlign w:val="center"/>
            <w:hideMark/>
          </w:tcPr>
          <w:p w14:paraId="6AC5815D" w14:textId="77777777" w:rsidR="00244A22" w:rsidRPr="00A9685F" w:rsidRDefault="00244A22" w:rsidP="00117458">
            <w:pPr>
              <w:rPr>
                <w:b/>
                <w:bCs/>
              </w:rPr>
            </w:pPr>
            <w:r w:rsidRPr="00A9685F">
              <w:rPr>
                <w:b/>
                <w:bCs/>
              </w:rPr>
              <w:t>Gloucester</w:t>
            </w:r>
          </w:p>
        </w:tc>
        <w:tc>
          <w:tcPr>
            <w:tcW w:w="821" w:type="dxa"/>
            <w:vAlign w:val="center"/>
            <w:hideMark/>
          </w:tcPr>
          <w:p w14:paraId="3600C93E" w14:textId="77777777" w:rsidR="00244A22" w:rsidRPr="00A9685F" w:rsidRDefault="00244A22" w:rsidP="00117458">
            <w:pPr>
              <w:rPr>
                <w:b/>
                <w:bCs/>
              </w:rPr>
            </w:pPr>
            <w:r>
              <w:rPr>
                <w:b/>
                <w:bCs/>
              </w:rPr>
              <w:t>SD</w:t>
            </w:r>
          </w:p>
        </w:tc>
        <w:tc>
          <w:tcPr>
            <w:tcW w:w="617" w:type="dxa"/>
            <w:vAlign w:val="center"/>
            <w:hideMark/>
          </w:tcPr>
          <w:p w14:paraId="57351E1F" w14:textId="77777777" w:rsidR="00244A22" w:rsidRPr="00A9685F" w:rsidRDefault="00244A22" w:rsidP="00117458">
            <w:pPr>
              <w:rPr>
                <w:b/>
                <w:bCs/>
              </w:rPr>
            </w:pPr>
            <w:r>
              <w:rPr>
                <w:b/>
                <w:bCs/>
              </w:rPr>
              <w:t>TB</w:t>
            </w:r>
          </w:p>
        </w:tc>
      </w:tr>
      <w:tr w:rsidR="00244A22" w:rsidRPr="00A9685F" w14:paraId="2D22BDE1" w14:textId="77777777" w:rsidTr="00117458">
        <w:trPr>
          <w:tblCellSpacing w:w="15" w:type="dxa"/>
        </w:trPr>
        <w:tc>
          <w:tcPr>
            <w:tcW w:w="2217" w:type="dxa"/>
            <w:vAlign w:val="center"/>
            <w:hideMark/>
          </w:tcPr>
          <w:p w14:paraId="1E3CA44C" w14:textId="77777777" w:rsidR="00244A22" w:rsidRPr="00A9685F" w:rsidRDefault="00244A22" w:rsidP="00117458">
            <w:r w:rsidRPr="00A9685F">
              <w:rPr>
                <w:b/>
                <w:bCs/>
              </w:rPr>
              <w:t>Interest in Taking on Responsibilities</w:t>
            </w:r>
          </w:p>
        </w:tc>
        <w:tc>
          <w:tcPr>
            <w:tcW w:w="1808" w:type="dxa"/>
            <w:vAlign w:val="center"/>
            <w:hideMark/>
          </w:tcPr>
          <w:p w14:paraId="1777B401" w14:textId="77777777" w:rsidR="00244A22" w:rsidRPr="00A9685F" w:rsidRDefault="00244A22" w:rsidP="00117458">
            <w:r w:rsidRPr="00A9685F">
              <w:t>Yes</w:t>
            </w:r>
          </w:p>
        </w:tc>
        <w:tc>
          <w:tcPr>
            <w:tcW w:w="690" w:type="dxa"/>
            <w:vAlign w:val="center"/>
            <w:hideMark/>
          </w:tcPr>
          <w:p w14:paraId="66414D46" w14:textId="77777777" w:rsidR="00244A22" w:rsidRPr="00A9685F" w:rsidRDefault="00244A22" w:rsidP="00117458">
            <w:r w:rsidRPr="00A9685F">
              <w:t>2</w:t>
            </w:r>
          </w:p>
        </w:tc>
        <w:tc>
          <w:tcPr>
            <w:tcW w:w="679" w:type="dxa"/>
            <w:vAlign w:val="center"/>
            <w:hideMark/>
          </w:tcPr>
          <w:p w14:paraId="723E5822" w14:textId="77777777" w:rsidR="00244A22" w:rsidRPr="00A9685F" w:rsidRDefault="00244A22" w:rsidP="00117458">
            <w:r w:rsidRPr="00A9685F">
              <w:t>8</w:t>
            </w:r>
          </w:p>
        </w:tc>
        <w:tc>
          <w:tcPr>
            <w:tcW w:w="678" w:type="dxa"/>
            <w:vAlign w:val="center"/>
            <w:hideMark/>
          </w:tcPr>
          <w:p w14:paraId="5CC80B28" w14:textId="77777777" w:rsidR="00244A22" w:rsidRPr="00A9685F" w:rsidRDefault="00244A22" w:rsidP="00117458">
            <w:r w:rsidRPr="00A9685F">
              <w:t>3</w:t>
            </w:r>
          </w:p>
        </w:tc>
        <w:tc>
          <w:tcPr>
            <w:tcW w:w="1246" w:type="dxa"/>
            <w:vAlign w:val="center"/>
            <w:hideMark/>
          </w:tcPr>
          <w:p w14:paraId="0160F2A6" w14:textId="77777777" w:rsidR="00244A22" w:rsidRPr="00A9685F" w:rsidRDefault="00244A22" w:rsidP="00117458">
            <w:r w:rsidRPr="00A9685F">
              <w:t>1</w:t>
            </w:r>
          </w:p>
        </w:tc>
        <w:tc>
          <w:tcPr>
            <w:tcW w:w="821" w:type="dxa"/>
            <w:vAlign w:val="center"/>
            <w:hideMark/>
          </w:tcPr>
          <w:p w14:paraId="7F497A1B" w14:textId="77777777" w:rsidR="00244A22" w:rsidRPr="00A9685F" w:rsidRDefault="00244A22" w:rsidP="00117458">
            <w:r w:rsidRPr="00A9685F">
              <w:t>5</w:t>
            </w:r>
          </w:p>
        </w:tc>
        <w:tc>
          <w:tcPr>
            <w:tcW w:w="617" w:type="dxa"/>
            <w:vAlign w:val="center"/>
            <w:hideMark/>
          </w:tcPr>
          <w:p w14:paraId="40DE59AB" w14:textId="77777777" w:rsidR="00244A22" w:rsidRPr="00A9685F" w:rsidRDefault="00244A22" w:rsidP="00117458">
            <w:r w:rsidRPr="00A9685F">
              <w:t>6</w:t>
            </w:r>
          </w:p>
        </w:tc>
      </w:tr>
      <w:tr w:rsidR="00244A22" w:rsidRPr="00A9685F" w14:paraId="5CE7F6CE" w14:textId="77777777" w:rsidTr="00117458">
        <w:trPr>
          <w:tblCellSpacing w:w="15" w:type="dxa"/>
        </w:trPr>
        <w:tc>
          <w:tcPr>
            <w:tcW w:w="2217" w:type="dxa"/>
            <w:vAlign w:val="center"/>
            <w:hideMark/>
          </w:tcPr>
          <w:p w14:paraId="28DB2287" w14:textId="77777777" w:rsidR="00244A22" w:rsidRPr="00A9685F" w:rsidRDefault="00244A22" w:rsidP="00117458"/>
        </w:tc>
        <w:tc>
          <w:tcPr>
            <w:tcW w:w="1808" w:type="dxa"/>
            <w:vAlign w:val="center"/>
            <w:hideMark/>
          </w:tcPr>
          <w:p w14:paraId="79C85AF3" w14:textId="77777777" w:rsidR="00244A22" w:rsidRPr="00A9685F" w:rsidRDefault="00244A22" w:rsidP="00117458">
            <w:r w:rsidRPr="00A9685F">
              <w:t>Unsure</w:t>
            </w:r>
          </w:p>
        </w:tc>
        <w:tc>
          <w:tcPr>
            <w:tcW w:w="690" w:type="dxa"/>
            <w:vAlign w:val="center"/>
            <w:hideMark/>
          </w:tcPr>
          <w:p w14:paraId="1656082D" w14:textId="77777777" w:rsidR="00244A22" w:rsidRPr="00A9685F" w:rsidRDefault="00244A22" w:rsidP="00117458">
            <w:r w:rsidRPr="00A9685F">
              <w:t>0</w:t>
            </w:r>
          </w:p>
        </w:tc>
        <w:tc>
          <w:tcPr>
            <w:tcW w:w="679" w:type="dxa"/>
            <w:vAlign w:val="center"/>
            <w:hideMark/>
          </w:tcPr>
          <w:p w14:paraId="7D846F66" w14:textId="77777777" w:rsidR="00244A22" w:rsidRPr="00A9685F" w:rsidRDefault="00244A22" w:rsidP="00117458">
            <w:r w:rsidRPr="00A9685F">
              <w:t>15</w:t>
            </w:r>
          </w:p>
        </w:tc>
        <w:tc>
          <w:tcPr>
            <w:tcW w:w="678" w:type="dxa"/>
            <w:vAlign w:val="center"/>
            <w:hideMark/>
          </w:tcPr>
          <w:p w14:paraId="5CB2A014" w14:textId="77777777" w:rsidR="00244A22" w:rsidRPr="00A9685F" w:rsidRDefault="00244A22" w:rsidP="00117458">
            <w:r w:rsidRPr="00A9685F">
              <w:t>9</w:t>
            </w:r>
          </w:p>
        </w:tc>
        <w:tc>
          <w:tcPr>
            <w:tcW w:w="1246" w:type="dxa"/>
            <w:vAlign w:val="center"/>
            <w:hideMark/>
          </w:tcPr>
          <w:p w14:paraId="4BB3FB34" w14:textId="77777777" w:rsidR="00244A22" w:rsidRPr="00A9685F" w:rsidRDefault="00244A22" w:rsidP="00117458">
            <w:r w:rsidRPr="00A9685F">
              <w:t>0</w:t>
            </w:r>
          </w:p>
        </w:tc>
        <w:tc>
          <w:tcPr>
            <w:tcW w:w="821" w:type="dxa"/>
            <w:vAlign w:val="center"/>
            <w:hideMark/>
          </w:tcPr>
          <w:p w14:paraId="52B8CEDC" w14:textId="77777777" w:rsidR="00244A22" w:rsidRPr="00A9685F" w:rsidRDefault="00244A22" w:rsidP="00117458">
            <w:r w:rsidRPr="00A9685F">
              <w:t>13</w:t>
            </w:r>
          </w:p>
        </w:tc>
        <w:tc>
          <w:tcPr>
            <w:tcW w:w="617" w:type="dxa"/>
            <w:vAlign w:val="center"/>
            <w:hideMark/>
          </w:tcPr>
          <w:p w14:paraId="16E4A704" w14:textId="77777777" w:rsidR="00244A22" w:rsidRPr="00A9685F" w:rsidRDefault="00244A22" w:rsidP="00117458">
            <w:r w:rsidRPr="00A9685F">
              <w:t>8</w:t>
            </w:r>
          </w:p>
        </w:tc>
      </w:tr>
      <w:tr w:rsidR="00244A22" w:rsidRPr="00A9685F" w14:paraId="21006C69" w14:textId="77777777" w:rsidTr="00117458">
        <w:trPr>
          <w:tblCellSpacing w:w="15" w:type="dxa"/>
        </w:trPr>
        <w:tc>
          <w:tcPr>
            <w:tcW w:w="2217" w:type="dxa"/>
            <w:vAlign w:val="center"/>
            <w:hideMark/>
          </w:tcPr>
          <w:p w14:paraId="49F41913" w14:textId="77777777" w:rsidR="00244A22" w:rsidRPr="00A9685F" w:rsidRDefault="00244A22" w:rsidP="00117458"/>
        </w:tc>
        <w:tc>
          <w:tcPr>
            <w:tcW w:w="1808" w:type="dxa"/>
            <w:vAlign w:val="center"/>
            <w:hideMark/>
          </w:tcPr>
          <w:p w14:paraId="3472B862" w14:textId="77777777" w:rsidR="00244A22" w:rsidRPr="00A9685F" w:rsidRDefault="00244A22" w:rsidP="00117458">
            <w:r w:rsidRPr="00A9685F">
              <w:t>No</w:t>
            </w:r>
          </w:p>
        </w:tc>
        <w:tc>
          <w:tcPr>
            <w:tcW w:w="690" w:type="dxa"/>
            <w:vAlign w:val="center"/>
            <w:hideMark/>
          </w:tcPr>
          <w:p w14:paraId="30185035" w14:textId="77777777" w:rsidR="00244A22" w:rsidRPr="00A9685F" w:rsidRDefault="00244A22" w:rsidP="00117458">
            <w:r w:rsidRPr="00A9685F">
              <w:t>0</w:t>
            </w:r>
          </w:p>
        </w:tc>
        <w:tc>
          <w:tcPr>
            <w:tcW w:w="679" w:type="dxa"/>
            <w:vAlign w:val="center"/>
            <w:hideMark/>
          </w:tcPr>
          <w:p w14:paraId="2FC9DB78" w14:textId="77777777" w:rsidR="00244A22" w:rsidRPr="00A9685F" w:rsidRDefault="00244A22" w:rsidP="00117458">
            <w:r w:rsidRPr="00A9685F">
              <w:t>1</w:t>
            </w:r>
          </w:p>
        </w:tc>
        <w:tc>
          <w:tcPr>
            <w:tcW w:w="678" w:type="dxa"/>
            <w:vAlign w:val="center"/>
            <w:hideMark/>
          </w:tcPr>
          <w:p w14:paraId="6DF558BE" w14:textId="77777777" w:rsidR="00244A22" w:rsidRPr="00A9685F" w:rsidRDefault="00244A22" w:rsidP="00117458">
            <w:r w:rsidRPr="00A9685F">
              <w:t>1</w:t>
            </w:r>
          </w:p>
        </w:tc>
        <w:tc>
          <w:tcPr>
            <w:tcW w:w="1246" w:type="dxa"/>
            <w:vAlign w:val="center"/>
            <w:hideMark/>
          </w:tcPr>
          <w:p w14:paraId="785A5C2B" w14:textId="77777777" w:rsidR="00244A22" w:rsidRPr="00A9685F" w:rsidRDefault="00244A22" w:rsidP="00117458">
            <w:r w:rsidRPr="00A9685F">
              <w:t>0</w:t>
            </w:r>
          </w:p>
        </w:tc>
        <w:tc>
          <w:tcPr>
            <w:tcW w:w="821" w:type="dxa"/>
            <w:vAlign w:val="center"/>
            <w:hideMark/>
          </w:tcPr>
          <w:p w14:paraId="3D8ED43C" w14:textId="77777777" w:rsidR="00244A22" w:rsidRPr="00A9685F" w:rsidRDefault="00244A22" w:rsidP="00117458">
            <w:r w:rsidRPr="00A9685F">
              <w:t>1</w:t>
            </w:r>
          </w:p>
        </w:tc>
        <w:tc>
          <w:tcPr>
            <w:tcW w:w="617" w:type="dxa"/>
            <w:vAlign w:val="center"/>
            <w:hideMark/>
          </w:tcPr>
          <w:p w14:paraId="2B70C9F4" w14:textId="77777777" w:rsidR="00244A22" w:rsidRPr="00A9685F" w:rsidRDefault="00244A22" w:rsidP="00117458">
            <w:r w:rsidRPr="00A9685F">
              <w:t>1</w:t>
            </w:r>
          </w:p>
        </w:tc>
      </w:tr>
      <w:tr w:rsidR="00244A22" w:rsidRPr="00A9685F" w14:paraId="67E22684" w14:textId="77777777" w:rsidTr="00117458">
        <w:trPr>
          <w:tblCellSpacing w:w="15" w:type="dxa"/>
        </w:trPr>
        <w:tc>
          <w:tcPr>
            <w:tcW w:w="2217" w:type="dxa"/>
            <w:vAlign w:val="center"/>
            <w:hideMark/>
          </w:tcPr>
          <w:p w14:paraId="284BB8A9" w14:textId="77777777" w:rsidR="00244A22" w:rsidRPr="00A9685F" w:rsidRDefault="00244A22" w:rsidP="00117458">
            <w:r w:rsidRPr="00A9685F">
              <w:rPr>
                <w:b/>
                <w:bCs/>
              </w:rPr>
              <w:t>Capacity to Take on Responsibilities</w:t>
            </w:r>
          </w:p>
        </w:tc>
        <w:tc>
          <w:tcPr>
            <w:tcW w:w="1808" w:type="dxa"/>
            <w:vAlign w:val="center"/>
            <w:hideMark/>
          </w:tcPr>
          <w:p w14:paraId="7BF7EDED" w14:textId="77777777" w:rsidR="00244A22" w:rsidRPr="00A9685F" w:rsidRDefault="00244A22" w:rsidP="00117458">
            <w:r w:rsidRPr="00A9685F">
              <w:t>Yes</w:t>
            </w:r>
          </w:p>
        </w:tc>
        <w:tc>
          <w:tcPr>
            <w:tcW w:w="690" w:type="dxa"/>
            <w:vAlign w:val="center"/>
            <w:hideMark/>
          </w:tcPr>
          <w:p w14:paraId="716FA8B0" w14:textId="77777777" w:rsidR="00244A22" w:rsidRPr="00A9685F" w:rsidRDefault="00244A22" w:rsidP="00117458">
            <w:r w:rsidRPr="00A9685F">
              <w:t>0</w:t>
            </w:r>
          </w:p>
        </w:tc>
        <w:tc>
          <w:tcPr>
            <w:tcW w:w="679" w:type="dxa"/>
            <w:vAlign w:val="center"/>
            <w:hideMark/>
          </w:tcPr>
          <w:p w14:paraId="63A7510F" w14:textId="77777777" w:rsidR="00244A22" w:rsidRPr="00A9685F" w:rsidRDefault="00244A22" w:rsidP="00117458">
            <w:r w:rsidRPr="00A9685F">
              <w:t>1</w:t>
            </w:r>
          </w:p>
        </w:tc>
        <w:tc>
          <w:tcPr>
            <w:tcW w:w="678" w:type="dxa"/>
            <w:vAlign w:val="center"/>
            <w:hideMark/>
          </w:tcPr>
          <w:p w14:paraId="24DDA6A9" w14:textId="77777777" w:rsidR="00244A22" w:rsidRPr="00A9685F" w:rsidRDefault="00244A22" w:rsidP="00117458">
            <w:r w:rsidRPr="00A9685F">
              <w:t>0</w:t>
            </w:r>
          </w:p>
        </w:tc>
        <w:tc>
          <w:tcPr>
            <w:tcW w:w="1246" w:type="dxa"/>
            <w:vAlign w:val="center"/>
            <w:hideMark/>
          </w:tcPr>
          <w:p w14:paraId="664F5EAF" w14:textId="77777777" w:rsidR="00244A22" w:rsidRPr="00A9685F" w:rsidRDefault="00244A22" w:rsidP="00117458">
            <w:r w:rsidRPr="00A9685F">
              <w:t>0</w:t>
            </w:r>
          </w:p>
        </w:tc>
        <w:tc>
          <w:tcPr>
            <w:tcW w:w="821" w:type="dxa"/>
            <w:vAlign w:val="center"/>
            <w:hideMark/>
          </w:tcPr>
          <w:p w14:paraId="0DF04FBF" w14:textId="77777777" w:rsidR="00244A22" w:rsidRPr="00A9685F" w:rsidRDefault="00244A22" w:rsidP="00117458">
            <w:r w:rsidRPr="00A9685F">
              <w:t>1</w:t>
            </w:r>
          </w:p>
        </w:tc>
        <w:tc>
          <w:tcPr>
            <w:tcW w:w="617" w:type="dxa"/>
            <w:vAlign w:val="center"/>
            <w:hideMark/>
          </w:tcPr>
          <w:p w14:paraId="573002A4" w14:textId="77777777" w:rsidR="00244A22" w:rsidRPr="00A9685F" w:rsidRDefault="00244A22" w:rsidP="00117458">
            <w:r w:rsidRPr="00A9685F">
              <w:t>0</w:t>
            </w:r>
          </w:p>
        </w:tc>
      </w:tr>
      <w:tr w:rsidR="00244A22" w:rsidRPr="00A9685F" w14:paraId="157E864B" w14:textId="77777777" w:rsidTr="00117458">
        <w:trPr>
          <w:tblCellSpacing w:w="15" w:type="dxa"/>
        </w:trPr>
        <w:tc>
          <w:tcPr>
            <w:tcW w:w="2217" w:type="dxa"/>
            <w:vAlign w:val="center"/>
            <w:hideMark/>
          </w:tcPr>
          <w:p w14:paraId="69EC8718" w14:textId="77777777" w:rsidR="00244A22" w:rsidRPr="00A9685F" w:rsidRDefault="00244A22" w:rsidP="00117458"/>
        </w:tc>
        <w:tc>
          <w:tcPr>
            <w:tcW w:w="1808" w:type="dxa"/>
            <w:vAlign w:val="center"/>
            <w:hideMark/>
          </w:tcPr>
          <w:p w14:paraId="32078833" w14:textId="77777777" w:rsidR="00244A22" w:rsidRPr="00A9685F" w:rsidRDefault="00244A22" w:rsidP="00117458">
            <w:r w:rsidRPr="00A9685F">
              <w:t>With additional support</w:t>
            </w:r>
          </w:p>
        </w:tc>
        <w:tc>
          <w:tcPr>
            <w:tcW w:w="690" w:type="dxa"/>
            <w:vAlign w:val="center"/>
            <w:hideMark/>
          </w:tcPr>
          <w:p w14:paraId="6600D641" w14:textId="77777777" w:rsidR="00244A22" w:rsidRPr="00A9685F" w:rsidRDefault="00244A22" w:rsidP="00117458">
            <w:r w:rsidRPr="00A9685F">
              <w:t>2</w:t>
            </w:r>
          </w:p>
        </w:tc>
        <w:tc>
          <w:tcPr>
            <w:tcW w:w="679" w:type="dxa"/>
            <w:vAlign w:val="center"/>
            <w:hideMark/>
          </w:tcPr>
          <w:p w14:paraId="492871A0" w14:textId="77777777" w:rsidR="00244A22" w:rsidRPr="00A9685F" w:rsidRDefault="00244A22" w:rsidP="00117458">
            <w:r w:rsidRPr="00A9685F">
              <w:t>7</w:t>
            </w:r>
          </w:p>
        </w:tc>
        <w:tc>
          <w:tcPr>
            <w:tcW w:w="678" w:type="dxa"/>
            <w:vAlign w:val="center"/>
            <w:hideMark/>
          </w:tcPr>
          <w:p w14:paraId="2F9BE430" w14:textId="77777777" w:rsidR="00244A22" w:rsidRPr="00A9685F" w:rsidRDefault="00244A22" w:rsidP="00117458">
            <w:r w:rsidRPr="00A9685F">
              <w:t>9</w:t>
            </w:r>
          </w:p>
        </w:tc>
        <w:tc>
          <w:tcPr>
            <w:tcW w:w="1246" w:type="dxa"/>
            <w:vAlign w:val="center"/>
            <w:hideMark/>
          </w:tcPr>
          <w:p w14:paraId="0A8DCFD8" w14:textId="77777777" w:rsidR="00244A22" w:rsidRPr="00A9685F" w:rsidRDefault="00244A22" w:rsidP="00117458">
            <w:r w:rsidRPr="00A9685F">
              <w:t>1</w:t>
            </w:r>
          </w:p>
        </w:tc>
        <w:tc>
          <w:tcPr>
            <w:tcW w:w="821" w:type="dxa"/>
            <w:vAlign w:val="center"/>
            <w:hideMark/>
          </w:tcPr>
          <w:p w14:paraId="7D6B531A" w14:textId="77777777" w:rsidR="00244A22" w:rsidRPr="00A9685F" w:rsidRDefault="00244A22" w:rsidP="00117458">
            <w:r w:rsidRPr="00A9685F">
              <w:t>12</w:t>
            </w:r>
          </w:p>
        </w:tc>
        <w:tc>
          <w:tcPr>
            <w:tcW w:w="617" w:type="dxa"/>
            <w:vAlign w:val="center"/>
            <w:hideMark/>
          </w:tcPr>
          <w:p w14:paraId="19601125" w14:textId="77777777" w:rsidR="00244A22" w:rsidRPr="00A9685F" w:rsidRDefault="00244A22" w:rsidP="00117458">
            <w:r w:rsidRPr="00A9685F">
              <w:t>7</w:t>
            </w:r>
          </w:p>
        </w:tc>
      </w:tr>
      <w:tr w:rsidR="00244A22" w:rsidRPr="00A9685F" w14:paraId="717EB5D7" w14:textId="77777777" w:rsidTr="00117458">
        <w:trPr>
          <w:tblCellSpacing w:w="15" w:type="dxa"/>
        </w:trPr>
        <w:tc>
          <w:tcPr>
            <w:tcW w:w="2217" w:type="dxa"/>
            <w:vAlign w:val="center"/>
            <w:hideMark/>
          </w:tcPr>
          <w:p w14:paraId="31F2BA85" w14:textId="77777777" w:rsidR="00244A22" w:rsidRPr="00A9685F" w:rsidRDefault="00244A22" w:rsidP="00117458"/>
        </w:tc>
        <w:tc>
          <w:tcPr>
            <w:tcW w:w="1808" w:type="dxa"/>
            <w:vAlign w:val="center"/>
            <w:hideMark/>
          </w:tcPr>
          <w:p w14:paraId="47EA60E6" w14:textId="77777777" w:rsidR="00244A22" w:rsidRPr="00A9685F" w:rsidRDefault="00244A22" w:rsidP="00117458">
            <w:r w:rsidRPr="00A9685F">
              <w:t>No</w:t>
            </w:r>
          </w:p>
        </w:tc>
        <w:tc>
          <w:tcPr>
            <w:tcW w:w="690" w:type="dxa"/>
            <w:vAlign w:val="center"/>
            <w:hideMark/>
          </w:tcPr>
          <w:p w14:paraId="05943691" w14:textId="77777777" w:rsidR="00244A22" w:rsidRPr="00A9685F" w:rsidRDefault="00244A22" w:rsidP="00117458">
            <w:r w:rsidRPr="00A9685F">
              <w:t>1</w:t>
            </w:r>
          </w:p>
        </w:tc>
        <w:tc>
          <w:tcPr>
            <w:tcW w:w="679" w:type="dxa"/>
            <w:vAlign w:val="center"/>
            <w:hideMark/>
          </w:tcPr>
          <w:p w14:paraId="21FE1871" w14:textId="77777777" w:rsidR="00244A22" w:rsidRPr="00A9685F" w:rsidRDefault="00244A22" w:rsidP="00117458">
            <w:r w:rsidRPr="00A9685F">
              <w:t>15</w:t>
            </w:r>
          </w:p>
        </w:tc>
        <w:tc>
          <w:tcPr>
            <w:tcW w:w="678" w:type="dxa"/>
            <w:vAlign w:val="center"/>
            <w:hideMark/>
          </w:tcPr>
          <w:p w14:paraId="2BFC70A2" w14:textId="77777777" w:rsidR="00244A22" w:rsidRPr="00A9685F" w:rsidRDefault="00244A22" w:rsidP="00117458">
            <w:r w:rsidRPr="00A9685F">
              <w:t>4</w:t>
            </w:r>
          </w:p>
        </w:tc>
        <w:tc>
          <w:tcPr>
            <w:tcW w:w="1246" w:type="dxa"/>
            <w:vAlign w:val="center"/>
            <w:hideMark/>
          </w:tcPr>
          <w:p w14:paraId="0E79B891" w14:textId="77777777" w:rsidR="00244A22" w:rsidRPr="00A9685F" w:rsidRDefault="00244A22" w:rsidP="00117458">
            <w:r w:rsidRPr="00A9685F">
              <w:t>0</w:t>
            </w:r>
          </w:p>
        </w:tc>
        <w:tc>
          <w:tcPr>
            <w:tcW w:w="821" w:type="dxa"/>
            <w:vAlign w:val="center"/>
            <w:hideMark/>
          </w:tcPr>
          <w:p w14:paraId="6EAA519D" w14:textId="77777777" w:rsidR="00244A22" w:rsidRPr="00A9685F" w:rsidRDefault="00244A22" w:rsidP="00117458">
            <w:r w:rsidRPr="00A9685F">
              <w:t>6</w:t>
            </w:r>
          </w:p>
        </w:tc>
        <w:tc>
          <w:tcPr>
            <w:tcW w:w="617" w:type="dxa"/>
            <w:vAlign w:val="center"/>
            <w:hideMark/>
          </w:tcPr>
          <w:p w14:paraId="1709E40E" w14:textId="77777777" w:rsidR="00244A22" w:rsidRPr="00A9685F" w:rsidRDefault="00244A22" w:rsidP="00117458">
            <w:r w:rsidRPr="00A9685F">
              <w:t>9</w:t>
            </w:r>
          </w:p>
        </w:tc>
      </w:tr>
      <w:tr w:rsidR="00244A22" w:rsidRPr="00A9685F" w14:paraId="76B4D5E3" w14:textId="77777777" w:rsidTr="00117458">
        <w:trPr>
          <w:tblCellSpacing w:w="15" w:type="dxa"/>
        </w:trPr>
        <w:tc>
          <w:tcPr>
            <w:tcW w:w="2217" w:type="dxa"/>
            <w:vAlign w:val="center"/>
            <w:hideMark/>
          </w:tcPr>
          <w:p w14:paraId="2512E142" w14:textId="77777777" w:rsidR="00244A22" w:rsidRPr="00A9685F" w:rsidRDefault="00244A22" w:rsidP="00117458">
            <w:r w:rsidRPr="00A9685F">
              <w:rPr>
                <w:b/>
                <w:bCs/>
              </w:rPr>
              <w:t>Concern About Financial Impact</w:t>
            </w:r>
          </w:p>
        </w:tc>
        <w:tc>
          <w:tcPr>
            <w:tcW w:w="1808" w:type="dxa"/>
            <w:vAlign w:val="center"/>
            <w:hideMark/>
          </w:tcPr>
          <w:p w14:paraId="60586708" w14:textId="77777777" w:rsidR="00244A22" w:rsidRPr="00A9685F" w:rsidRDefault="00244A22" w:rsidP="00117458">
            <w:r w:rsidRPr="00A9685F">
              <w:t>Not concerned</w:t>
            </w:r>
          </w:p>
        </w:tc>
        <w:tc>
          <w:tcPr>
            <w:tcW w:w="690" w:type="dxa"/>
            <w:vAlign w:val="center"/>
            <w:hideMark/>
          </w:tcPr>
          <w:p w14:paraId="3A7597BE" w14:textId="77777777" w:rsidR="00244A22" w:rsidRPr="00A9685F" w:rsidRDefault="00244A22" w:rsidP="00117458">
            <w:r w:rsidRPr="00A9685F">
              <w:t>0</w:t>
            </w:r>
          </w:p>
        </w:tc>
        <w:tc>
          <w:tcPr>
            <w:tcW w:w="679" w:type="dxa"/>
            <w:vAlign w:val="center"/>
            <w:hideMark/>
          </w:tcPr>
          <w:p w14:paraId="4C4B14D6" w14:textId="77777777" w:rsidR="00244A22" w:rsidRPr="00A9685F" w:rsidRDefault="00244A22" w:rsidP="00117458">
            <w:r w:rsidRPr="00A9685F">
              <w:t>1</w:t>
            </w:r>
          </w:p>
        </w:tc>
        <w:tc>
          <w:tcPr>
            <w:tcW w:w="678" w:type="dxa"/>
            <w:vAlign w:val="center"/>
            <w:hideMark/>
          </w:tcPr>
          <w:p w14:paraId="776B3426" w14:textId="77777777" w:rsidR="00244A22" w:rsidRPr="00A9685F" w:rsidRDefault="00244A22" w:rsidP="00117458">
            <w:r w:rsidRPr="00A9685F">
              <w:t>0</w:t>
            </w:r>
          </w:p>
        </w:tc>
        <w:tc>
          <w:tcPr>
            <w:tcW w:w="1246" w:type="dxa"/>
            <w:vAlign w:val="center"/>
            <w:hideMark/>
          </w:tcPr>
          <w:p w14:paraId="66BC90E9" w14:textId="77777777" w:rsidR="00244A22" w:rsidRPr="00A9685F" w:rsidRDefault="00244A22" w:rsidP="00117458">
            <w:r w:rsidRPr="00A9685F">
              <w:t>0</w:t>
            </w:r>
          </w:p>
        </w:tc>
        <w:tc>
          <w:tcPr>
            <w:tcW w:w="821" w:type="dxa"/>
            <w:vAlign w:val="center"/>
            <w:hideMark/>
          </w:tcPr>
          <w:p w14:paraId="6B102544" w14:textId="77777777" w:rsidR="00244A22" w:rsidRPr="00A9685F" w:rsidRDefault="00244A22" w:rsidP="00117458">
            <w:r w:rsidRPr="00A9685F">
              <w:t>2</w:t>
            </w:r>
          </w:p>
        </w:tc>
        <w:tc>
          <w:tcPr>
            <w:tcW w:w="617" w:type="dxa"/>
            <w:vAlign w:val="center"/>
            <w:hideMark/>
          </w:tcPr>
          <w:p w14:paraId="65728DBF" w14:textId="77777777" w:rsidR="00244A22" w:rsidRPr="00A9685F" w:rsidRDefault="00244A22" w:rsidP="00117458">
            <w:r w:rsidRPr="00A9685F">
              <w:t>1</w:t>
            </w:r>
          </w:p>
        </w:tc>
      </w:tr>
      <w:tr w:rsidR="00244A22" w:rsidRPr="00A9685F" w14:paraId="5D3FC107" w14:textId="77777777" w:rsidTr="00117458">
        <w:trPr>
          <w:tblCellSpacing w:w="15" w:type="dxa"/>
        </w:trPr>
        <w:tc>
          <w:tcPr>
            <w:tcW w:w="2217" w:type="dxa"/>
            <w:vAlign w:val="center"/>
            <w:hideMark/>
          </w:tcPr>
          <w:p w14:paraId="127E6F30" w14:textId="77777777" w:rsidR="00244A22" w:rsidRPr="00A9685F" w:rsidRDefault="00244A22" w:rsidP="00117458"/>
        </w:tc>
        <w:tc>
          <w:tcPr>
            <w:tcW w:w="1808" w:type="dxa"/>
            <w:vAlign w:val="center"/>
            <w:hideMark/>
          </w:tcPr>
          <w:p w14:paraId="177C3285" w14:textId="77777777" w:rsidR="00244A22" w:rsidRPr="00A9685F" w:rsidRDefault="00244A22" w:rsidP="00117458">
            <w:r w:rsidRPr="00A9685F">
              <w:t>Somewhat concerned</w:t>
            </w:r>
          </w:p>
        </w:tc>
        <w:tc>
          <w:tcPr>
            <w:tcW w:w="690" w:type="dxa"/>
            <w:vAlign w:val="center"/>
            <w:hideMark/>
          </w:tcPr>
          <w:p w14:paraId="12AAE6FF" w14:textId="77777777" w:rsidR="00244A22" w:rsidRPr="00A9685F" w:rsidRDefault="00244A22" w:rsidP="00117458">
            <w:r w:rsidRPr="00A9685F">
              <w:t>2</w:t>
            </w:r>
          </w:p>
        </w:tc>
        <w:tc>
          <w:tcPr>
            <w:tcW w:w="679" w:type="dxa"/>
            <w:vAlign w:val="center"/>
            <w:hideMark/>
          </w:tcPr>
          <w:p w14:paraId="416C6D79" w14:textId="77777777" w:rsidR="00244A22" w:rsidRPr="00A9685F" w:rsidRDefault="00244A22" w:rsidP="00117458">
            <w:r w:rsidRPr="00A9685F">
              <w:t>7</w:t>
            </w:r>
          </w:p>
        </w:tc>
        <w:tc>
          <w:tcPr>
            <w:tcW w:w="678" w:type="dxa"/>
            <w:vAlign w:val="center"/>
            <w:hideMark/>
          </w:tcPr>
          <w:p w14:paraId="77B09491" w14:textId="77777777" w:rsidR="00244A22" w:rsidRPr="00A9685F" w:rsidRDefault="00244A22" w:rsidP="00117458">
            <w:r w:rsidRPr="00A9685F">
              <w:t>4</w:t>
            </w:r>
          </w:p>
        </w:tc>
        <w:tc>
          <w:tcPr>
            <w:tcW w:w="1246" w:type="dxa"/>
            <w:vAlign w:val="center"/>
            <w:hideMark/>
          </w:tcPr>
          <w:p w14:paraId="4C40882B" w14:textId="77777777" w:rsidR="00244A22" w:rsidRPr="00A9685F" w:rsidRDefault="00244A22" w:rsidP="00117458">
            <w:r w:rsidRPr="00A9685F">
              <w:t>0</w:t>
            </w:r>
          </w:p>
        </w:tc>
        <w:tc>
          <w:tcPr>
            <w:tcW w:w="821" w:type="dxa"/>
            <w:vAlign w:val="center"/>
            <w:hideMark/>
          </w:tcPr>
          <w:p w14:paraId="62B4BF72" w14:textId="77777777" w:rsidR="00244A22" w:rsidRPr="00A9685F" w:rsidRDefault="00244A22" w:rsidP="00117458">
            <w:r w:rsidRPr="00A9685F">
              <w:t>11</w:t>
            </w:r>
          </w:p>
        </w:tc>
        <w:tc>
          <w:tcPr>
            <w:tcW w:w="617" w:type="dxa"/>
            <w:vAlign w:val="center"/>
            <w:hideMark/>
          </w:tcPr>
          <w:p w14:paraId="4B2172D9" w14:textId="77777777" w:rsidR="00244A22" w:rsidRPr="00A9685F" w:rsidRDefault="00244A22" w:rsidP="00117458">
            <w:r w:rsidRPr="00A9685F">
              <w:t>9</w:t>
            </w:r>
          </w:p>
        </w:tc>
      </w:tr>
      <w:tr w:rsidR="00244A22" w:rsidRPr="00A9685F" w14:paraId="334EB853" w14:textId="77777777" w:rsidTr="00117458">
        <w:trPr>
          <w:tblCellSpacing w:w="15" w:type="dxa"/>
        </w:trPr>
        <w:tc>
          <w:tcPr>
            <w:tcW w:w="2217" w:type="dxa"/>
            <w:vAlign w:val="center"/>
            <w:hideMark/>
          </w:tcPr>
          <w:p w14:paraId="71DD0D58" w14:textId="77777777" w:rsidR="00244A22" w:rsidRPr="00A9685F" w:rsidRDefault="00244A22" w:rsidP="00117458"/>
        </w:tc>
        <w:tc>
          <w:tcPr>
            <w:tcW w:w="1808" w:type="dxa"/>
            <w:vAlign w:val="center"/>
            <w:hideMark/>
          </w:tcPr>
          <w:p w14:paraId="4855E713" w14:textId="77777777" w:rsidR="00244A22" w:rsidRPr="00A9685F" w:rsidRDefault="00244A22" w:rsidP="00117458">
            <w:r w:rsidRPr="00A9685F">
              <w:t>Very concerned</w:t>
            </w:r>
          </w:p>
        </w:tc>
        <w:tc>
          <w:tcPr>
            <w:tcW w:w="690" w:type="dxa"/>
            <w:vAlign w:val="center"/>
            <w:hideMark/>
          </w:tcPr>
          <w:p w14:paraId="228E925B" w14:textId="77777777" w:rsidR="00244A22" w:rsidRPr="00A9685F" w:rsidRDefault="00244A22" w:rsidP="00117458">
            <w:r w:rsidRPr="00A9685F">
              <w:t>0</w:t>
            </w:r>
          </w:p>
        </w:tc>
        <w:tc>
          <w:tcPr>
            <w:tcW w:w="679" w:type="dxa"/>
            <w:vAlign w:val="center"/>
            <w:hideMark/>
          </w:tcPr>
          <w:p w14:paraId="5291675A" w14:textId="77777777" w:rsidR="00244A22" w:rsidRPr="00A9685F" w:rsidRDefault="00244A22" w:rsidP="00117458">
            <w:r w:rsidRPr="00A9685F">
              <w:t>15</w:t>
            </w:r>
          </w:p>
        </w:tc>
        <w:tc>
          <w:tcPr>
            <w:tcW w:w="678" w:type="dxa"/>
            <w:vAlign w:val="center"/>
            <w:hideMark/>
          </w:tcPr>
          <w:p w14:paraId="2F36CDAD" w14:textId="77777777" w:rsidR="00244A22" w:rsidRPr="00A9685F" w:rsidRDefault="00244A22" w:rsidP="00117458">
            <w:r w:rsidRPr="00A9685F">
              <w:t>8</w:t>
            </w:r>
          </w:p>
        </w:tc>
        <w:tc>
          <w:tcPr>
            <w:tcW w:w="1246" w:type="dxa"/>
            <w:vAlign w:val="center"/>
            <w:hideMark/>
          </w:tcPr>
          <w:p w14:paraId="647D217D" w14:textId="77777777" w:rsidR="00244A22" w:rsidRPr="00A9685F" w:rsidRDefault="00244A22" w:rsidP="00117458">
            <w:r w:rsidRPr="00A9685F">
              <w:t>1</w:t>
            </w:r>
          </w:p>
        </w:tc>
        <w:tc>
          <w:tcPr>
            <w:tcW w:w="821" w:type="dxa"/>
            <w:vAlign w:val="center"/>
            <w:hideMark/>
          </w:tcPr>
          <w:p w14:paraId="2F7AA8BB" w14:textId="77777777" w:rsidR="00244A22" w:rsidRPr="00A9685F" w:rsidRDefault="00244A22" w:rsidP="00117458">
            <w:r w:rsidRPr="00A9685F">
              <w:t>6</w:t>
            </w:r>
          </w:p>
        </w:tc>
        <w:tc>
          <w:tcPr>
            <w:tcW w:w="617" w:type="dxa"/>
            <w:vAlign w:val="center"/>
            <w:hideMark/>
          </w:tcPr>
          <w:p w14:paraId="0FA7CC21" w14:textId="77777777" w:rsidR="00244A22" w:rsidRPr="00A9685F" w:rsidRDefault="00244A22" w:rsidP="00117458">
            <w:r w:rsidRPr="00A9685F">
              <w:t>6</w:t>
            </w:r>
          </w:p>
        </w:tc>
      </w:tr>
      <w:tr w:rsidR="00244A22" w:rsidRPr="00A9685F" w14:paraId="4B23C1EF" w14:textId="77777777" w:rsidTr="00117458">
        <w:trPr>
          <w:tblCellSpacing w:w="15" w:type="dxa"/>
        </w:trPr>
        <w:tc>
          <w:tcPr>
            <w:tcW w:w="2217" w:type="dxa"/>
            <w:vAlign w:val="center"/>
            <w:hideMark/>
          </w:tcPr>
          <w:p w14:paraId="6E0213AD" w14:textId="77777777" w:rsidR="00244A22" w:rsidRPr="00A9685F" w:rsidRDefault="00244A22" w:rsidP="00117458">
            <w:r w:rsidRPr="00A9685F">
              <w:rPr>
                <w:b/>
                <w:bCs/>
              </w:rPr>
              <w:lastRenderedPageBreak/>
              <w:t>Willingness to Raise Precept</w:t>
            </w:r>
          </w:p>
        </w:tc>
        <w:tc>
          <w:tcPr>
            <w:tcW w:w="1808" w:type="dxa"/>
            <w:vAlign w:val="center"/>
            <w:hideMark/>
          </w:tcPr>
          <w:p w14:paraId="60B9D7A5" w14:textId="77777777" w:rsidR="00244A22" w:rsidRPr="00A9685F" w:rsidRDefault="00244A22" w:rsidP="00117458">
            <w:r w:rsidRPr="00A9685F">
              <w:t>Yes</w:t>
            </w:r>
          </w:p>
        </w:tc>
        <w:tc>
          <w:tcPr>
            <w:tcW w:w="690" w:type="dxa"/>
            <w:vAlign w:val="center"/>
            <w:hideMark/>
          </w:tcPr>
          <w:p w14:paraId="5492C243" w14:textId="77777777" w:rsidR="00244A22" w:rsidRPr="00A9685F" w:rsidRDefault="00244A22" w:rsidP="00117458">
            <w:r w:rsidRPr="00A9685F">
              <w:t>1</w:t>
            </w:r>
          </w:p>
        </w:tc>
        <w:tc>
          <w:tcPr>
            <w:tcW w:w="679" w:type="dxa"/>
            <w:vAlign w:val="center"/>
            <w:hideMark/>
          </w:tcPr>
          <w:p w14:paraId="1D335EB5" w14:textId="77777777" w:rsidR="00244A22" w:rsidRPr="00A9685F" w:rsidRDefault="00244A22" w:rsidP="00117458">
            <w:r w:rsidRPr="00A9685F">
              <w:t>4</w:t>
            </w:r>
          </w:p>
        </w:tc>
        <w:tc>
          <w:tcPr>
            <w:tcW w:w="678" w:type="dxa"/>
            <w:vAlign w:val="center"/>
            <w:hideMark/>
          </w:tcPr>
          <w:p w14:paraId="56C4FB7A" w14:textId="77777777" w:rsidR="00244A22" w:rsidRPr="00A9685F" w:rsidRDefault="00244A22" w:rsidP="00117458">
            <w:r w:rsidRPr="00A9685F">
              <w:t>6</w:t>
            </w:r>
          </w:p>
        </w:tc>
        <w:tc>
          <w:tcPr>
            <w:tcW w:w="1246" w:type="dxa"/>
            <w:vAlign w:val="center"/>
            <w:hideMark/>
          </w:tcPr>
          <w:p w14:paraId="5DF05A39" w14:textId="77777777" w:rsidR="00244A22" w:rsidRPr="00A9685F" w:rsidRDefault="00244A22" w:rsidP="00117458">
            <w:r w:rsidRPr="00A9685F">
              <w:t>0</w:t>
            </w:r>
          </w:p>
        </w:tc>
        <w:tc>
          <w:tcPr>
            <w:tcW w:w="821" w:type="dxa"/>
            <w:vAlign w:val="center"/>
            <w:hideMark/>
          </w:tcPr>
          <w:p w14:paraId="68C233EA" w14:textId="77777777" w:rsidR="00244A22" w:rsidRPr="00A9685F" w:rsidRDefault="00244A22" w:rsidP="00117458">
            <w:r w:rsidRPr="00A9685F">
              <w:t>5</w:t>
            </w:r>
          </w:p>
        </w:tc>
        <w:tc>
          <w:tcPr>
            <w:tcW w:w="617" w:type="dxa"/>
            <w:vAlign w:val="center"/>
            <w:hideMark/>
          </w:tcPr>
          <w:p w14:paraId="7D4E97D5" w14:textId="77777777" w:rsidR="00244A22" w:rsidRPr="00A9685F" w:rsidRDefault="00244A22" w:rsidP="00117458">
            <w:r w:rsidRPr="00A9685F">
              <w:t>1</w:t>
            </w:r>
          </w:p>
        </w:tc>
      </w:tr>
      <w:tr w:rsidR="00244A22" w:rsidRPr="00A9685F" w14:paraId="2ACA03A0" w14:textId="77777777" w:rsidTr="00117458">
        <w:trPr>
          <w:tblCellSpacing w:w="15" w:type="dxa"/>
        </w:trPr>
        <w:tc>
          <w:tcPr>
            <w:tcW w:w="2217" w:type="dxa"/>
            <w:vAlign w:val="center"/>
            <w:hideMark/>
          </w:tcPr>
          <w:p w14:paraId="35D3DBE5" w14:textId="77777777" w:rsidR="00244A22" w:rsidRPr="00A9685F" w:rsidRDefault="00244A22" w:rsidP="00117458"/>
        </w:tc>
        <w:tc>
          <w:tcPr>
            <w:tcW w:w="1808" w:type="dxa"/>
            <w:vAlign w:val="center"/>
            <w:hideMark/>
          </w:tcPr>
          <w:p w14:paraId="1BA7B384" w14:textId="77777777" w:rsidR="00244A22" w:rsidRPr="00A9685F" w:rsidRDefault="00244A22" w:rsidP="00117458">
            <w:r w:rsidRPr="00A9685F">
              <w:t>Not sure</w:t>
            </w:r>
          </w:p>
        </w:tc>
        <w:tc>
          <w:tcPr>
            <w:tcW w:w="690" w:type="dxa"/>
            <w:vAlign w:val="center"/>
            <w:hideMark/>
          </w:tcPr>
          <w:p w14:paraId="0B9E81D5" w14:textId="77777777" w:rsidR="00244A22" w:rsidRPr="00A9685F" w:rsidRDefault="00244A22" w:rsidP="00117458">
            <w:r w:rsidRPr="00A9685F">
              <w:t>2</w:t>
            </w:r>
          </w:p>
        </w:tc>
        <w:tc>
          <w:tcPr>
            <w:tcW w:w="679" w:type="dxa"/>
            <w:vAlign w:val="center"/>
            <w:hideMark/>
          </w:tcPr>
          <w:p w14:paraId="5AE788AB" w14:textId="77777777" w:rsidR="00244A22" w:rsidRPr="00A9685F" w:rsidRDefault="00244A22" w:rsidP="00117458">
            <w:r w:rsidRPr="00A9685F">
              <w:t>15</w:t>
            </w:r>
          </w:p>
        </w:tc>
        <w:tc>
          <w:tcPr>
            <w:tcW w:w="678" w:type="dxa"/>
            <w:vAlign w:val="center"/>
            <w:hideMark/>
          </w:tcPr>
          <w:p w14:paraId="7F72DC1D" w14:textId="77777777" w:rsidR="00244A22" w:rsidRPr="00A9685F" w:rsidRDefault="00244A22" w:rsidP="00117458">
            <w:r w:rsidRPr="00A9685F">
              <w:t>4</w:t>
            </w:r>
          </w:p>
        </w:tc>
        <w:tc>
          <w:tcPr>
            <w:tcW w:w="1246" w:type="dxa"/>
            <w:vAlign w:val="center"/>
            <w:hideMark/>
          </w:tcPr>
          <w:p w14:paraId="74733620" w14:textId="77777777" w:rsidR="00244A22" w:rsidRPr="00A9685F" w:rsidRDefault="00244A22" w:rsidP="00117458">
            <w:r w:rsidRPr="00A9685F">
              <w:t>1</w:t>
            </w:r>
          </w:p>
        </w:tc>
        <w:tc>
          <w:tcPr>
            <w:tcW w:w="821" w:type="dxa"/>
            <w:vAlign w:val="center"/>
            <w:hideMark/>
          </w:tcPr>
          <w:p w14:paraId="02F0518E" w14:textId="77777777" w:rsidR="00244A22" w:rsidRPr="00A9685F" w:rsidRDefault="00244A22" w:rsidP="00117458">
            <w:r w:rsidRPr="00A9685F">
              <w:t>11</w:t>
            </w:r>
          </w:p>
        </w:tc>
        <w:tc>
          <w:tcPr>
            <w:tcW w:w="617" w:type="dxa"/>
            <w:vAlign w:val="center"/>
            <w:hideMark/>
          </w:tcPr>
          <w:p w14:paraId="587565AA" w14:textId="77777777" w:rsidR="00244A22" w:rsidRPr="00A9685F" w:rsidRDefault="00244A22" w:rsidP="00117458">
            <w:r w:rsidRPr="00A9685F">
              <w:t>8</w:t>
            </w:r>
          </w:p>
        </w:tc>
      </w:tr>
      <w:tr w:rsidR="00244A22" w:rsidRPr="00A9685F" w14:paraId="210E9D23" w14:textId="77777777" w:rsidTr="00117458">
        <w:trPr>
          <w:tblCellSpacing w:w="15" w:type="dxa"/>
        </w:trPr>
        <w:tc>
          <w:tcPr>
            <w:tcW w:w="2217" w:type="dxa"/>
            <w:vAlign w:val="center"/>
            <w:hideMark/>
          </w:tcPr>
          <w:p w14:paraId="22F9EBF1" w14:textId="77777777" w:rsidR="00244A22" w:rsidRPr="00A9685F" w:rsidRDefault="00244A22" w:rsidP="00117458"/>
        </w:tc>
        <w:tc>
          <w:tcPr>
            <w:tcW w:w="1808" w:type="dxa"/>
            <w:vAlign w:val="center"/>
            <w:hideMark/>
          </w:tcPr>
          <w:p w14:paraId="68DD35B8" w14:textId="77777777" w:rsidR="00244A22" w:rsidRPr="00A9685F" w:rsidRDefault="00244A22" w:rsidP="00117458">
            <w:r w:rsidRPr="00A9685F">
              <w:t>No</w:t>
            </w:r>
          </w:p>
        </w:tc>
        <w:tc>
          <w:tcPr>
            <w:tcW w:w="690" w:type="dxa"/>
            <w:vAlign w:val="center"/>
            <w:hideMark/>
          </w:tcPr>
          <w:p w14:paraId="0962C464" w14:textId="77777777" w:rsidR="00244A22" w:rsidRPr="00A9685F" w:rsidRDefault="00244A22" w:rsidP="00117458">
            <w:r w:rsidRPr="00A9685F">
              <w:t>0</w:t>
            </w:r>
          </w:p>
        </w:tc>
        <w:tc>
          <w:tcPr>
            <w:tcW w:w="679" w:type="dxa"/>
            <w:vAlign w:val="center"/>
            <w:hideMark/>
          </w:tcPr>
          <w:p w14:paraId="2D14DD10" w14:textId="77777777" w:rsidR="00244A22" w:rsidRPr="00A9685F" w:rsidRDefault="00244A22" w:rsidP="00117458">
            <w:r w:rsidRPr="00A9685F">
              <w:t>3</w:t>
            </w:r>
          </w:p>
        </w:tc>
        <w:tc>
          <w:tcPr>
            <w:tcW w:w="678" w:type="dxa"/>
            <w:vAlign w:val="center"/>
            <w:hideMark/>
          </w:tcPr>
          <w:p w14:paraId="14717326" w14:textId="77777777" w:rsidR="00244A22" w:rsidRPr="00A9685F" w:rsidRDefault="00244A22" w:rsidP="00117458">
            <w:r w:rsidRPr="00A9685F">
              <w:t>2</w:t>
            </w:r>
          </w:p>
        </w:tc>
        <w:tc>
          <w:tcPr>
            <w:tcW w:w="1246" w:type="dxa"/>
            <w:vAlign w:val="center"/>
            <w:hideMark/>
          </w:tcPr>
          <w:p w14:paraId="5F5B4574" w14:textId="77777777" w:rsidR="00244A22" w:rsidRPr="00A9685F" w:rsidRDefault="00244A22" w:rsidP="00117458">
            <w:r w:rsidRPr="00A9685F">
              <w:t>0</w:t>
            </w:r>
          </w:p>
        </w:tc>
        <w:tc>
          <w:tcPr>
            <w:tcW w:w="821" w:type="dxa"/>
            <w:vAlign w:val="center"/>
            <w:hideMark/>
          </w:tcPr>
          <w:p w14:paraId="4B846C60" w14:textId="77777777" w:rsidR="00244A22" w:rsidRPr="00A9685F" w:rsidRDefault="00244A22" w:rsidP="00117458">
            <w:r w:rsidRPr="00A9685F">
              <w:t>3</w:t>
            </w:r>
          </w:p>
        </w:tc>
        <w:tc>
          <w:tcPr>
            <w:tcW w:w="617" w:type="dxa"/>
            <w:vAlign w:val="center"/>
            <w:hideMark/>
          </w:tcPr>
          <w:p w14:paraId="323E74AB" w14:textId="77777777" w:rsidR="00244A22" w:rsidRPr="00A9685F" w:rsidRDefault="00244A22" w:rsidP="00117458">
            <w:r w:rsidRPr="00A9685F">
              <w:t>6</w:t>
            </w:r>
          </w:p>
        </w:tc>
      </w:tr>
      <w:tr w:rsidR="00244A22" w:rsidRPr="00A9685F" w14:paraId="7DB99B97" w14:textId="77777777" w:rsidTr="00117458">
        <w:trPr>
          <w:tblCellSpacing w:w="15" w:type="dxa"/>
        </w:trPr>
        <w:tc>
          <w:tcPr>
            <w:tcW w:w="2217" w:type="dxa"/>
            <w:vAlign w:val="center"/>
            <w:hideMark/>
          </w:tcPr>
          <w:p w14:paraId="48AF1976" w14:textId="77777777" w:rsidR="00244A22" w:rsidRPr="00A9685F" w:rsidRDefault="00244A22" w:rsidP="00117458"/>
        </w:tc>
        <w:tc>
          <w:tcPr>
            <w:tcW w:w="1808" w:type="dxa"/>
            <w:vAlign w:val="center"/>
            <w:hideMark/>
          </w:tcPr>
          <w:p w14:paraId="0070A43B" w14:textId="77777777" w:rsidR="00244A22" w:rsidRPr="00A9685F" w:rsidRDefault="00244A22" w:rsidP="00117458">
            <w:r w:rsidRPr="00A9685F">
              <w:t>Unsure</w:t>
            </w:r>
          </w:p>
        </w:tc>
        <w:tc>
          <w:tcPr>
            <w:tcW w:w="690" w:type="dxa"/>
            <w:vAlign w:val="center"/>
            <w:hideMark/>
          </w:tcPr>
          <w:p w14:paraId="7C590F2C" w14:textId="77777777" w:rsidR="00244A22" w:rsidRPr="00A9685F" w:rsidRDefault="00244A22" w:rsidP="00117458">
            <w:r w:rsidRPr="00A9685F">
              <w:t>0</w:t>
            </w:r>
          </w:p>
        </w:tc>
        <w:tc>
          <w:tcPr>
            <w:tcW w:w="679" w:type="dxa"/>
            <w:vAlign w:val="center"/>
            <w:hideMark/>
          </w:tcPr>
          <w:p w14:paraId="7FA7FD79" w14:textId="77777777" w:rsidR="00244A22" w:rsidRPr="00A9685F" w:rsidRDefault="00244A22" w:rsidP="00117458">
            <w:r w:rsidRPr="00A9685F">
              <w:t>1</w:t>
            </w:r>
          </w:p>
        </w:tc>
        <w:tc>
          <w:tcPr>
            <w:tcW w:w="678" w:type="dxa"/>
            <w:vAlign w:val="center"/>
            <w:hideMark/>
          </w:tcPr>
          <w:p w14:paraId="6AB40550" w14:textId="77777777" w:rsidR="00244A22" w:rsidRPr="00A9685F" w:rsidRDefault="00244A22" w:rsidP="00117458">
            <w:r w:rsidRPr="00A9685F">
              <w:t>0</w:t>
            </w:r>
          </w:p>
        </w:tc>
        <w:tc>
          <w:tcPr>
            <w:tcW w:w="1246" w:type="dxa"/>
            <w:vAlign w:val="center"/>
            <w:hideMark/>
          </w:tcPr>
          <w:p w14:paraId="173CBFBB" w14:textId="77777777" w:rsidR="00244A22" w:rsidRPr="00A9685F" w:rsidRDefault="00244A22" w:rsidP="00117458">
            <w:r w:rsidRPr="00A9685F">
              <w:t>0</w:t>
            </w:r>
          </w:p>
        </w:tc>
        <w:tc>
          <w:tcPr>
            <w:tcW w:w="821" w:type="dxa"/>
            <w:vAlign w:val="center"/>
            <w:hideMark/>
          </w:tcPr>
          <w:p w14:paraId="10943178" w14:textId="77777777" w:rsidR="00244A22" w:rsidRPr="00A9685F" w:rsidRDefault="00244A22" w:rsidP="00117458">
            <w:r w:rsidRPr="00A9685F">
              <w:t>0</w:t>
            </w:r>
          </w:p>
        </w:tc>
        <w:tc>
          <w:tcPr>
            <w:tcW w:w="617" w:type="dxa"/>
            <w:vAlign w:val="center"/>
            <w:hideMark/>
          </w:tcPr>
          <w:p w14:paraId="203A757A" w14:textId="77777777" w:rsidR="00244A22" w:rsidRPr="00A9685F" w:rsidRDefault="00244A22" w:rsidP="00117458">
            <w:r w:rsidRPr="00A9685F">
              <w:t>0</w:t>
            </w:r>
          </w:p>
        </w:tc>
      </w:tr>
      <w:tr w:rsidR="00244A22" w:rsidRPr="00A9685F" w14:paraId="791F2FF8" w14:textId="77777777" w:rsidTr="00117458">
        <w:trPr>
          <w:tblCellSpacing w:w="15" w:type="dxa"/>
        </w:trPr>
        <w:tc>
          <w:tcPr>
            <w:tcW w:w="2217" w:type="dxa"/>
            <w:vAlign w:val="center"/>
            <w:hideMark/>
          </w:tcPr>
          <w:p w14:paraId="5492DAA1" w14:textId="77777777" w:rsidR="00244A22" w:rsidRPr="00A9685F" w:rsidRDefault="00244A22" w:rsidP="00117458">
            <w:r w:rsidRPr="00A9685F">
              <w:rPr>
                <w:b/>
                <w:bCs/>
              </w:rPr>
              <w:t>Openness to Collaboration</w:t>
            </w:r>
          </w:p>
        </w:tc>
        <w:tc>
          <w:tcPr>
            <w:tcW w:w="1808" w:type="dxa"/>
            <w:vAlign w:val="center"/>
            <w:hideMark/>
          </w:tcPr>
          <w:p w14:paraId="20DA262F" w14:textId="77777777" w:rsidR="00244A22" w:rsidRPr="00A9685F" w:rsidRDefault="00244A22" w:rsidP="00117458">
            <w:r w:rsidRPr="00A9685F">
              <w:t>Yes</w:t>
            </w:r>
          </w:p>
        </w:tc>
        <w:tc>
          <w:tcPr>
            <w:tcW w:w="690" w:type="dxa"/>
            <w:vAlign w:val="center"/>
            <w:hideMark/>
          </w:tcPr>
          <w:p w14:paraId="6BF7AECA" w14:textId="77777777" w:rsidR="00244A22" w:rsidRPr="00A9685F" w:rsidRDefault="00244A22" w:rsidP="00117458">
            <w:r w:rsidRPr="00A9685F">
              <w:t>1</w:t>
            </w:r>
          </w:p>
        </w:tc>
        <w:tc>
          <w:tcPr>
            <w:tcW w:w="679" w:type="dxa"/>
            <w:vAlign w:val="center"/>
            <w:hideMark/>
          </w:tcPr>
          <w:p w14:paraId="17F973CC" w14:textId="77777777" w:rsidR="00244A22" w:rsidRPr="00A9685F" w:rsidRDefault="00244A22" w:rsidP="00117458">
            <w:r w:rsidRPr="00A9685F">
              <w:t>6</w:t>
            </w:r>
          </w:p>
        </w:tc>
        <w:tc>
          <w:tcPr>
            <w:tcW w:w="678" w:type="dxa"/>
            <w:vAlign w:val="center"/>
            <w:hideMark/>
          </w:tcPr>
          <w:p w14:paraId="57DC08B0" w14:textId="77777777" w:rsidR="00244A22" w:rsidRPr="00A9685F" w:rsidRDefault="00244A22" w:rsidP="00117458">
            <w:r w:rsidRPr="00A9685F">
              <w:t>3</w:t>
            </w:r>
          </w:p>
        </w:tc>
        <w:tc>
          <w:tcPr>
            <w:tcW w:w="1246" w:type="dxa"/>
            <w:vAlign w:val="center"/>
            <w:hideMark/>
          </w:tcPr>
          <w:p w14:paraId="2F462EE4" w14:textId="77777777" w:rsidR="00244A22" w:rsidRPr="00A9685F" w:rsidRDefault="00244A22" w:rsidP="00117458">
            <w:r w:rsidRPr="00A9685F">
              <w:t>0</w:t>
            </w:r>
          </w:p>
        </w:tc>
        <w:tc>
          <w:tcPr>
            <w:tcW w:w="821" w:type="dxa"/>
            <w:vAlign w:val="center"/>
            <w:hideMark/>
          </w:tcPr>
          <w:p w14:paraId="3281AA55" w14:textId="77777777" w:rsidR="00244A22" w:rsidRPr="00A9685F" w:rsidRDefault="00244A22" w:rsidP="00117458">
            <w:r w:rsidRPr="00A9685F">
              <w:t>10</w:t>
            </w:r>
          </w:p>
        </w:tc>
        <w:tc>
          <w:tcPr>
            <w:tcW w:w="617" w:type="dxa"/>
            <w:vAlign w:val="center"/>
            <w:hideMark/>
          </w:tcPr>
          <w:p w14:paraId="33705FFD" w14:textId="77777777" w:rsidR="00244A22" w:rsidRPr="00A9685F" w:rsidRDefault="00244A22" w:rsidP="00117458">
            <w:r w:rsidRPr="00A9685F">
              <w:t>7</w:t>
            </w:r>
          </w:p>
        </w:tc>
      </w:tr>
      <w:tr w:rsidR="00244A22" w:rsidRPr="00A9685F" w14:paraId="3FC269D3" w14:textId="77777777" w:rsidTr="00117458">
        <w:trPr>
          <w:tblCellSpacing w:w="15" w:type="dxa"/>
        </w:trPr>
        <w:tc>
          <w:tcPr>
            <w:tcW w:w="2217" w:type="dxa"/>
            <w:vAlign w:val="center"/>
            <w:hideMark/>
          </w:tcPr>
          <w:p w14:paraId="3C802CBD" w14:textId="77777777" w:rsidR="00244A22" w:rsidRPr="00A9685F" w:rsidRDefault="00244A22" w:rsidP="00117458"/>
        </w:tc>
        <w:tc>
          <w:tcPr>
            <w:tcW w:w="1808" w:type="dxa"/>
            <w:vAlign w:val="center"/>
            <w:hideMark/>
          </w:tcPr>
          <w:p w14:paraId="1C411B04" w14:textId="77777777" w:rsidR="00244A22" w:rsidRPr="00A9685F" w:rsidRDefault="00244A22" w:rsidP="00117458">
            <w:r w:rsidRPr="00A9685F">
              <w:t>Possibly</w:t>
            </w:r>
          </w:p>
        </w:tc>
        <w:tc>
          <w:tcPr>
            <w:tcW w:w="690" w:type="dxa"/>
            <w:vAlign w:val="center"/>
            <w:hideMark/>
          </w:tcPr>
          <w:p w14:paraId="08B61F74" w14:textId="77777777" w:rsidR="00244A22" w:rsidRPr="00A9685F" w:rsidRDefault="00244A22" w:rsidP="00117458">
            <w:r w:rsidRPr="00A9685F">
              <w:t>2</w:t>
            </w:r>
          </w:p>
        </w:tc>
        <w:tc>
          <w:tcPr>
            <w:tcW w:w="679" w:type="dxa"/>
            <w:vAlign w:val="center"/>
            <w:hideMark/>
          </w:tcPr>
          <w:p w14:paraId="4DE1650E" w14:textId="77777777" w:rsidR="00244A22" w:rsidRPr="00A9685F" w:rsidRDefault="00244A22" w:rsidP="00117458">
            <w:r w:rsidRPr="00A9685F">
              <w:t>16</w:t>
            </w:r>
          </w:p>
        </w:tc>
        <w:tc>
          <w:tcPr>
            <w:tcW w:w="678" w:type="dxa"/>
            <w:vAlign w:val="center"/>
            <w:hideMark/>
          </w:tcPr>
          <w:p w14:paraId="5AEEA19A" w14:textId="77777777" w:rsidR="00244A22" w:rsidRPr="00A9685F" w:rsidRDefault="00244A22" w:rsidP="00117458">
            <w:r w:rsidRPr="00A9685F">
              <w:t>7</w:t>
            </w:r>
          </w:p>
        </w:tc>
        <w:tc>
          <w:tcPr>
            <w:tcW w:w="1246" w:type="dxa"/>
            <w:vAlign w:val="center"/>
            <w:hideMark/>
          </w:tcPr>
          <w:p w14:paraId="0FBA70C8" w14:textId="77777777" w:rsidR="00244A22" w:rsidRPr="00A9685F" w:rsidRDefault="00244A22" w:rsidP="00117458">
            <w:r w:rsidRPr="00A9685F">
              <w:t>1</w:t>
            </w:r>
          </w:p>
        </w:tc>
        <w:tc>
          <w:tcPr>
            <w:tcW w:w="821" w:type="dxa"/>
            <w:vAlign w:val="center"/>
            <w:hideMark/>
          </w:tcPr>
          <w:p w14:paraId="7E856858" w14:textId="77777777" w:rsidR="00244A22" w:rsidRPr="00A9685F" w:rsidRDefault="00244A22" w:rsidP="00117458">
            <w:r w:rsidRPr="00A9685F">
              <w:t>9</w:t>
            </w:r>
          </w:p>
        </w:tc>
        <w:tc>
          <w:tcPr>
            <w:tcW w:w="617" w:type="dxa"/>
            <w:vAlign w:val="center"/>
            <w:hideMark/>
          </w:tcPr>
          <w:p w14:paraId="5F00E0F1" w14:textId="77777777" w:rsidR="00244A22" w:rsidRPr="00A9685F" w:rsidRDefault="00244A22" w:rsidP="00117458">
            <w:r w:rsidRPr="00A9685F">
              <w:t>8</w:t>
            </w:r>
          </w:p>
        </w:tc>
      </w:tr>
      <w:tr w:rsidR="00244A22" w:rsidRPr="00A9685F" w14:paraId="387BCD29" w14:textId="77777777" w:rsidTr="00117458">
        <w:trPr>
          <w:tblCellSpacing w:w="15" w:type="dxa"/>
        </w:trPr>
        <w:tc>
          <w:tcPr>
            <w:tcW w:w="2217" w:type="dxa"/>
            <w:vAlign w:val="center"/>
            <w:hideMark/>
          </w:tcPr>
          <w:p w14:paraId="20628930" w14:textId="77777777" w:rsidR="00244A22" w:rsidRPr="00A9685F" w:rsidRDefault="00244A22" w:rsidP="00117458"/>
        </w:tc>
        <w:tc>
          <w:tcPr>
            <w:tcW w:w="1808" w:type="dxa"/>
            <w:vAlign w:val="center"/>
            <w:hideMark/>
          </w:tcPr>
          <w:p w14:paraId="7F35BF7D" w14:textId="77777777" w:rsidR="00244A22" w:rsidRPr="00A9685F" w:rsidRDefault="00244A22" w:rsidP="00117458">
            <w:r w:rsidRPr="00A9685F">
              <w:t>No</w:t>
            </w:r>
          </w:p>
        </w:tc>
        <w:tc>
          <w:tcPr>
            <w:tcW w:w="690" w:type="dxa"/>
            <w:vAlign w:val="center"/>
            <w:hideMark/>
          </w:tcPr>
          <w:p w14:paraId="4C00226F" w14:textId="77777777" w:rsidR="00244A22" w:rsidRPr="00A9685F" w:rsidRDefault="00244A22" w:rsidP="00117458">
            <w:r w:rsidRPr="00A9685F">
              <w:t>0</w:t>
            </w:r>
          </w:p>
        </w:tc>
        <w:tc>
          <w:tcPr>
            <w:tcW w:w="679" w:type="dxa"/>
            <w:vAlign w:val="center"/>
            <w:hideMark/>
          </w:tcPr>
          <w:p w14:paraId="3C35D843" w14:textId="77777777" w:rsidR="00244A22" w:rsidRPr="00A9685F" w:rsidRDefault="00244A22" w:rsidP="00117458">
            <w:r w:rsidRPr="00A9685F">
              <w:t>1</w:t>
            </w:r>
          </w:p>
        </w:tc>
        <w:tc>
          <w:tcPr>
            <w:tcW w:w="678" w:type="dxa"/>
            <w:vAlign w:val="center"/>
            <w:hideMark/>
          </w:tcPr>
          <w:p w14:paraId="78B6574E" w14:textId="77777777" w:rsidR="00244A22" w:rsidRPr="00A9685F" w:rsidRDefault="00244A22" w:rsidP="00117458">
            <w:r w:rsidRPr="00A9685F">
              <w:t>3</w:t>
            </w:r>
          </w:p>
        </w:tc>
        <w:tc>
          <w:tcPr>
            <w:tcW w:w="1246" w:type="dxa"/>
            <w:vAlign w:val="center"/>
            <w:hideMark/>
          </w:tcPr>
          <w:p w14:paraId="06404ACB" w14:textId="77777777" w:rsidR="00244A22" w:rsidRPr="00A9685F" w:rsidRDefault="00244A22" w:rsidP="00117458">
            <w:r w:rsidRPr="00A9685F">
              <w:t>0</w:t>
            </w:r>
          </w:p>
        </w:tc>
        <w:tc>
          <w:tcPr>
            <w:tcW w:w="821" w:type="dxa"/>
            <w:vAlign w:val="center"/>
            <w:hideMark/>
          </w:tcPr>
          <w:p w14:paraId="6B82002C" w14:textId="77777777" w:rsidR="00244A22" w:rsidRPr="00A9685F" w:rsidRDefault="00244A22" w:rsidP="00117458">
            <w:r w:rsidRPr="00A9685F">
              <w:t>0</w:t>
            </w:r>
          </w:p>
        </w:tc>
        <w:tc>
          <w:tcPr>
            <w:tcW w:w="617" w:type="dxa"/>
            <w:vAlign w:val="center"/>
            <w:hideMark/>
          </w:tcPr>
          <w:p w14:paraId="754D7B30" w14:textId="77777777" w:rsidR="00244A22" w:rsidRPr="00A9685F" w:rsidRDefault="00244A22" w:rsidP="00117458">
            <w:r w:rsidRPr="00A9685F">
              <w:t>1</w:t>
            </w:r>
          </w:p>
        </w:tc>
      </w:tr>
      <w:tr w:rsidR="00244A22" w:rsidRPr="00A9685F" w14:paraId="675A8B55" w14:textId="77777777" w:rsidTr="00117458">
        <w:trPr>
          <w:tblCellSpacing w:w="15" w:type="dxa"/>
        </w:trPr>
        <w:tc>
          <w:tcPr>
            <w:tcW w:w="2217" w:type="dxa"/>
            <w:vAlign w:val="center"/>
            <w:hideMark/>
          </w:tcPr>
          <w:p w14:paraId="007A66F4" w14:textId="77777777" w:rsidR="00244A22" w:rsidRPr="00A9685F" w:rsidRDefault="00244A22" w:rsidP="00117458">
            <w:r w:rsidRPr="00A9685F">
              <w:rPr>
                <w:b/>
                <w:bCs/>
              </w:rPr>
              <w:t>Preferred Governance Model</w:t>
            </w:r>
          </w:p>
        </w:tc>
        <w:tc>
          <w:tcPr>
            <w:tcW w:w="1808" w:type="dxa"/>
            <w:vAlign w:val="center"/>
            <w:hideMark/>
          </w:tcPr>
          <w:p w14:paraId="72CC55EF" w14:textId="77777777" w:rsidR="00244A22" w:rsidRPr="00A9685F" w:rsidRDefault="00244A22" w:rsidP="00117458">
            <w:r w:rsidRPr="00A9685F">
              <w:t>Direct</w:t>
            </w:r>
          </w:p>
        </w:tc>
        <w:tc>
          <w:tcPr>
            <w:tcW w:w="690" w:type="dxa"/>
            <w:vAlign w:val="center"/>
            <w:hideMark/>
          </w:tcPr>
          <w:p w14:paraId="2409B3FA" w14:textId="77777777" w:rsidR="00244A22" w:rsidRPr="00A9685F" w:rsidRDefault="00244A22" w:rsidP="00117458">
            <w:r w:rsidRPr="00A9685F">
              <w:t>0</w:t>
            </w:r>
          </w:p>
        </w:tc>
        <w:tc>
          <w:tcPr>
            <w:tcW w:w="679" w:type="dxa"/>
            <w:vAlign w:val="center"/>
            <w:hideMark/>
          </w:tcPr>
          <w:p w14:paraId="234A5078" w14:textId="77777777" w:rsidR="00244A22" w:rsidRPr="00A9685F" w:rsidRDefault="00244A22" w:rsidP="00117458">
            <w:r w:rsidRPr="00A9685F">
              <w:t>1</w:t>
            </w:r>
          </w:p>
        </w:tc>
        <w:tc>
          <w:tcPr>
            <w:tcW w:w="678" w:type="dxa"/>
            <w:vAlign w:val="center"/>
            <w:hideMark/>
          </w:tcPr>
          <w:p w14:paraId="74FDCC7B" w14:textId="77777777" w:rsidR="00244A22" w:rsidRPr="00A9685F" w:rsidRDefault="00244A22" w:rsidP="00117458">
            <w:r w:rsidRPr="00A9685F">
              <w:t>0</w:t>
            </w:r>
          </w:p>
        </w:tc>
        <w:tc>
          <w:tcPr>
            <w:tcW w:w="1246" w:type="dxa"/>
            <w:vAlign w:val="center"/>
            <w:hideMark/>
          </w:tcPr>
          <w:p w14:paraId="479A7010" w14:textId="77777777" w:rsidR="00244A22" w:rsidRPr="00A9685F" w:rsidRDefault="00244A22" w:rsidP="00117458">
            <w:r w:rsidRPr="00A9685F">
              <w:t>0</w:t>
            </w:r>
          </w:p>
        </w:tc>
        <w:tc>
          <w:tcPr>
            <w:tcW w:w="821" w:type="dxa"/>
            <w:vAlign w:val="center"/>
            <w:hideMark/>
          </w:tcPr>
          <w:p w14:paraId="0AC9E684" w14:textId="77777777" w:rsidR="00244A22" w:rsidRPr="00A9685F" w:rsidRDefault="00244A22" w:rsidP="00117458">
            <w:r w:rsidRPr="00A9685F">
              <w:t>2</w:t>
            </w:r>
          </w:p>
        </w:tc>
        <w:tc>
          <w:tcPr>
            <w:tcW w:w="617" w:type="dxa"/>
            <w:vAlign w:val="center"/>
            <w:hideMark/>
          </w:tcPr>
          <w:p w14:paraId="7E9CFB1D" w14:textId="77777777" w:rsidR="00244A22" w:rsidRPr="00A9685F" w:rsidRDefault="00244A22" w:rsidP="00117458">
            <w:r w:rsidRPr="00A9685F">
              <w:t>0</w:t>
            </w:r>
          </w:p>
        </w:tc>
      </w:tr>
      <w:tr w:rsidR="00244A22" w:rsidRPr="00A9685F" w14:paraId="37C35390" w14:textId="77777777" w:rsidTr="00117458">
        <w:trPr>
          <w:tblCellSpacing w:w="15" w:type="dxa"/>
        </w:trPr>
        <w:tc>
          <w:tcPr>
            <w:tcW w:w="2217" w:type="dxa"/>
            <w:vAlign w:val="center"/>
            <w:hideMark/>
          </w:tcPr>
          <w:p w14:paraId="17A02934" w14:textId="77777777" w:rsidR="00244A22" w:rsidRPr="00A9685F" w:rsidRDefault="00244A22" w:rsidP="00117458"/>
        </w:tc>
        <w:tc>
          <w:tcPr>
            <w:tcW w:w="1808" w:type="dxa"/>
            <w:vAlign w:val="center"/>
            <w:hideMark/>
          </w:tcPr>
          <w:p w14:paraId="765963E3" w14:textId="77777777" w:rsidR="00244A22" w:rsidRPr="00A9685F" w:rsidRDefault="00244A22" w:rsidP="00117458">
            <w:r w:rsidRPr="00A9685F">
              <w:t>Direct representation</w:t>
            </w:r>
          </w:p>
        </w:tc>
        <w:tc>
          <w:tcPr>
            <w:tcW w:w="690" w:type="dxa"/>
            <w:vAlign w:val="center"/>
            <w:hideMark/>
          </w:tcPr>
          <w:p w14:paraId="5E59FDEA" w14:textId="77777777" w:rsidR="00244A22" w:rsidRPr="00A9685F" w:rsidRDefault="00244A22" w:rsidP="00117458">
            <w:r w:rsidRPr="00A9685F">
              <w:t>2</w:t>
            </w:r>
          </w:p>
        </w:tc>
        <w:tc>
          <w:tcPr>
            <w:tcW w:w="679" w:type="dxa"/>
            <w:vAlign w:val="center"/>
            <w:hideMark/>
          </w:tcPr>
          <w:p w14:paraId="3D6EDCFD" w14:textId="77777777" w:rsidR="00244A22" w:rsidRPr="00A9685F" w:rsidRDefault="00244A22" w:rsidP="00117458">
            <w:r w:rsidRPr="00A9685F">
              <w:t>4</w:t>
            </w:r>
          </w:p>
        </w:tc>
        <w:tc>
          <w:tcPr>
            <w:tcW w:w="678" w:type="dxa"/>
            <w:vAlign w:val="center"/>
            <w:hideMark/>
          </w:tcPr>
          <w:p w14:paraId="6120ADB9" w14:textId="77777777" w:rsidR="00244A22" w:rsidRPr="00A9685F" w:rsidRDefault="00244A22" w:rsidP="00117458">
            <w:r w:rsidRPr="00A9685F">
              <w:t>5</w:t>
            </w:r>
          </w:p>
        </w:tc>
        <w:tc>
          <w:tcPr>
            <w:tcW w:w="1246" w:type="dxa"/>
            <w:vAlign w:val="center"/>
            <w:hideMark/>
          </w:tcPr>
          <w:p w14:paraId="3DB58DEA" w14:textId="77777777" w:rsidR="00244A22" w:rsidRPr="00A9685F" w:rsidRDefault="00244A22" w:rsidP="00117458">
            <w:r w:rsidRPr="00A9685F">
              <w:t>0</w:t>
            </w:r>
          </w:p>
        </w:tc>
        <w:tc>
          <w:tcPr>
            <w:tcW w:w="821" w:type="dxa"/>
            <w:vAlign w:val="center"/>
            <w:hideMark/>
          </w:tcPr>
          <w:p w14:paraId="79121F93" w14:textId="77777777" w:rsidR="00244A22" w:rsidRPr="00A9685F" w:rsidRDefault="00244A22" w:rsidP="00117458">
            <w:r w:rsidRPr="00A9685F">
              <w:t>4</w:t>
            </w:r>
          </w:p>
        </w:tc>
        <w:tc>
          <w:tcPr>
            <w:tcW w:w="617" w:type="dxa"/>
            <w:vAlign w:val="center"/>
            <w:hideMark/>
          </w:tcPr>
          <w:p w14:paraId="475234E0" w14:textId="77777777" w:rsidR="00244A22" w:rsidRPr="00A9685F" w:rsidRDefault="00244A22" w:rsidP="00117458">
            <w:r w:rsidRPr="00A9685F">
              <w:t>7</w:t>
            </w:r>
          </w:p>
        </w:tc>
      </w:tr>
      <w:tr w:rsidR="00244A22" w:rsidRPr="00A9685F" w14:paraId="1FBA83EC" w14:textId="77777777" w:rsidTr="00117458">
        <w:trPr>
          <w:tblCellSpacing w:w="15" w:type="dxa"/>
        </w:trPr>
        <w:tc>
          <w:tcPr>
            <w:tcW w:w="2217" w:type="dxa"/>
            <w:vAlign w:val="center"/>
            <w:hideMark/>
          </w:tcPr>
          <w:p w14:paraId="5B697B26" w14:textId="77777777" w:rsidR="00244A22" w:rsidRPr="00A9685F" w:rsidRDefault="00244A22" w:rsidP="00117458"/>
        </w:tc>
        <w:tc>
          <w:tcPr>
            <w:tcW w:w="1808" w:type="dxa"/>
            <w:vAlign w:val="center"/>
            <w:hideMark/>
          </w:tcPr>
          <w:p w14:paraId="78A657B6" w14:textId="77777777" w:rsidR="00244A22" w:rsidRPr="00A9685F" w:rsidRDefault="00244A22" w:rsidP="00117458">
            <w:r w:rsidRPr="00A9685F">
              <w:t>Direct + clarity/models needed</w:t>
            </w:r>
          </w:p>
        </w:tc>
        <w:tc>
          <w:tcPr>
            <w:tcW w:w="690" w:type="dxa"/>
            <w:vAlign w:val="center"/>
            <w:hideMark/>
          </w:tcPr>
          <w:p w14:paraId="207FEB70" w14:textId="77777777" w:rsidR="00244A22" w:rsidRPr="00A9685F" w:rsidRDefault="00244A22" w:rsidP="00117458">
            <w:r w:rsidRPr="00A9685F">
              <w:t>0</w:t>
            </w:r>
          </w:p>
        </w:tc>
        <w:tc>
          <w:tcPr>
            <w:tcW w:w="679" w:type="dxa"/>
            <w:vAlign w:val="center"/>
            <w:hideMark/>
          </w:tcPr>
          <w:p w14:paraId="6677E726" w14:textId="77777777" w:rsidR="00244A22" w:rsidRPr="00A9685F" w:rsidRDefault="00244A22" w:rsidP="00117458">
            <w:r w:rsidRPr="00A9685F">
              <w:t>1</w:t>
            </w:r>
          </w:p>
        </w:tc>
        <w:tc>
          <w:tcPr>
            <w:tcW w:w="678" w:type="dxa"/>
            <w:vAlign w:val="center"/>
            <w:hideMark/>
          </w:tcPr>
          <w:p w14:paraId="20EB973D" w14:textId="77777777" w:rsidR="00244A22" w:rsidRPr="00A9685F" w:rsidRDefault="00244A22" w:rsidP="00117458">
            <w:r w:rsidRPr="00A9685F">
              <w:t>0</w:t>
            </w:r>
          </w:p>
        </w:tc>
        <w:tc>
          <w:tcPr>
            <w:tcW w:w="1246" w:type="dxa"/>
            <w:vAlign w:val="center"/>
            <w:hideMark/>
          </w:tcPr>
          <w:p w14:paraId="0915D15C" w14:textId="77777777" w:rsidR="00244A22" w:rsidRPr="00A9685F" w:rsidRDefault="00244A22" w:rsidP="00117458">
            <w:r w:rsidRPr="00A9685F">
              <w:t>0</w:t>
            </w:r>
          </w:p>
        </w:tc>
        <w:tc>
          <w:tcPr>
            <w:tcW w:w="821" w:type="dxa"/>
            <w:vAlign w:val="center"/>
            <w:hideMark/>
          </w:tcPr>
          <w:p w14:paraId="250D73DD" w14:textId="77777777" w:rsidR="00244A22" w:rsidRPr="00A9685F" w:rsidRDefault="00244A22" w:rsidP="00117458">
            <w:r w:rsidRPr="00A9685F">
              <w:t>0</w:t>
            </w:r>
          </w:p>
        </w:tc>
        <w:tc>
          <w:tcPr>
            <w:tcW w:w="617" w:type="dxa"/>
            <w:vAlign w:val="center"/>
            <w:hideMark/>
          </w:tcPr>
          <w:p w14:paraId="1022BD08" w14:textId="77777777" w:rsidR="00244A22" w:rsidRPr="00A9685F" w:rsidRDefault="00244A22" w:rsidP="00117458">
            <w:r w:rsidRPr="00A9685F">
              <w:t>0</w:t>
            </w:r>
          </w:p>
        </w:tc>
      </w:tr>
      <w:tr w:rsidR="00244A22" w:rsidRPr="00A9685F" w14:paraId="47E81426" w14:textId="77777777" w:rsidTr="00117458">
        <w:trPr>
          <w:tblCellSpacing w:w="15" w:type="dxa"/>
        </w:trPr>
        <w:tc>
          <w:tcPr>
            <w:tcW w:w="2217" w:type="dxa"/>
            <w:vAlign w:val="center"/>
            <w:hideMark/>
          </w:tcPr>
          <w:p w14:paraId="5163A80F" w14:textId="77777777" w:rsidR="00244A22" w:rsidRPr="00A9685F" w:rsidRDefault="00244A22" w:rsidP="00117458"/>
        </w:tc>
        <w:tc>
          <w:tcPr>
            <w:tcW w:w="1808" w:type="dxa"/>
            <w:vAlign w:val="center"/>
            <w:hideMark/>
          </w:tcPr>
          <w:p w14:paraId="7733318B" w14:textId="77777777" w:rsidR="00244A22" w:rsidRPr="00A9685F" w:rsidRDefault="00244A22" w:rsidP="00117458">
            <w:r w:rsidRPr="00A9685F">
              <w:t>Joint committees with district/county</w:t>
            </w:r>
          </w:p>
        </w:tc>
        <w:tc>
          <w:tcPr>
            <w:tcW w:w="690" w:type="dxa"/>
            <w:vAlign w:val="center"/>
            <w:hideMark/>
          </w:tcPr>
          <w:p w14:paraId="0200A97F" w14:textId="77777777" w:rsidR="00244A22" w:rsidRPr="00A9685F" w:rsidRDefault="00244A22" w:rsidP="00117458">
            <w:r w:rsidRPr="00A9685F">
              <w:t>1</w:t>
            </w:r>
          </w:p>
        </w:tc>
        <w:tc>
          <w:tcPr>
            <w:tcW w:w="679" w:type="dxa"/>
            <w:vAlign w:val="center"/>
            <w:hideMark/>
          </w:tcPr>
          <w:p w14:paraId="6E731452" w14:textId="77777777" w:rsidR="00244A22" w:rsidRPr="00A9685F" w:rsidRDefault="00244A22" w:rsidP="00117458">
            <w:r w:rsidRPr="00A9685F">
              <w:t>1</w:t>
            </w:r>
          </w:p>
        </w:tc>
        <w:tc>
          <w:tcPr>
            <w:tcW w:w="678" w:type="dxa"/>
            <w:vAlign w:val="center"/>
            <w:hideMark/>
          </w:tcPr>
          <w:p w14:paraId="4FDF8DEB" w14:textId="77777777" w:rsidR="00244A22" w:rsidRPr="00A9685F" w:rsidRDefault="00244A22" w:rsidP="00117458">
            <w:r w:rsidRPr="00A9685F">
              <w:t>0</w:t>
            </w:r>
          </w:p>
        </w:tc>
        <w:tc>
          <w:tcPr>
            <w:tcW w:w="1246" w:type="dxa"/>
            <w:vAlign w:val="center"/>
            <w:hideMark/>
          </w:tcPr>
          <w:p w14:paraId="4E545227" w14:textId="77777777" w:rsidR="00244A22" w:rsidRPr="00A9685F" w:rsidRDefault="00244A22" w:rsidP="00117458">
            <w:r w:rsidRPr="00A9685F">
              <w:t>0</w:t>
            </w:r>
          </w:p>
        </w:tc>
        <w:tc>
          <w:tcPr>
            <w:tcW w:w="821" w:type="dxa"/>
            <w:vAlign w:val="center"/>
            <w:hideMark/>
          </w:tcPr>
          <w:p w14:paraId="13E07D95" w14:textId="77777777" w:rsidR="00244A22" w:rsidRPr="00A9685F" w:rsidRDefault="00244A22" w:rsidP="00117458">
            <w:r w:rsidRPr="00A9685F">
              <w:t>0</w:t>
            </w:r>
          </w:p>
        </w:tc>
        <w:tc>
          <w:tcPr>
            <w:tcW w:w="617" w:type="dxa"/>
            <w:vAlign w:val="center"/>
            <w:hideMark/>
          </w:tcPr>
          <w:p w14:paraId="263E87AF" w14:textId="77777777" w:rsidR="00244A22" w:rsidRPr="00A9685F" w:rsidRDefault="00244A22" w:rsidP="00117458">
            <w:r w:rsidRPr="00A9685F">
              <w:t>0</w:t>
            </w:r>
          </w:p>
        </w:tc>
      </w:tr>
      <w:tr w:rsidR="00244A22" w:rsidRPr="00A9685F" w14:paraId="23F1B14E" w14:textId="77777777" w:rsidTr="00117458">
        <w:trPr>
          <w:tblCellSpacing w:w="15" w:type="dxa"/>
        </w:trPr>
        <w:tc>
          <w:tcPr>
            <w:tcW w:w="2217" w:type="dxa"/>
            <w:vAlign w:val="center"/>
            <w:hideMark/>
          </w:tcPr>
          <w:p w14:paraId="2D59CBE6" w14:textId="77777777" w:rsidR="00244A22" w:rsidRPr="00A9685F" w:rsidRDefault="00244A22" w:rsidP="00117458"/>
        </w:tc>
        <w:tc>
          <w:tcPr>
            <w:tcW w:w="1808" w:type="dxa"/>
            <w:vAlign w:val="center"/>
            <w:hideMark/>
          </w:tcPr>
          <w:p w14:paraId="68F00514" w14:textId="77777777" w:rsidR="00244A22" w:rsidRPr="00A9685F" w:rsidRDefault="00244A22" w:rsidP="00117458">
            <w:r w:rsidRPr="00A9685F">
              <w:t>New representative body</w:t>
            </w:r>
          </w:p>
        </w:tc>
        <w:tc>
          <w:tcPr>
            <w:tcW w:w="690" w:type="dxa"/>
            <w:vAlign w:val="center"/>
            <w:hideMark/>
          </w:tcPr>
          <w:p w14:paraId="5AFFB7E4" w14:textId="77777777" w:rsidR="00244A22" w:rsidRPr="00A9685F" w:rsidRDefault="00244A22" w:rsidP="00117458">
            <w:r w:rsidRPr="00A9685F">
              <w:t>0</w:t>
            </w:r>
          </w:p>
        </w:tc>
        <w:tc>
          <w:tcPr>
            <w:tcW w:w="679" w:type="dxa"/>
            <w:vAlign w:val="center"/>
            <w:hideMark/>
          </w:tcPr>
          <w:p w14:paraId="1F3E87B0" w14:textId="77777777" w:rsidR="00244A22" w:rsidRPr="00A9685F" w:rsidRDefault="00244A22" w:rsidP="00117458">
            <w:r w:rsidRPr="00A9685F">
              <w:t>4</w:t>
            </w:r>
          </w:p>
        </w:tc>
        <w:tc>
          <w:tcPr>
            <w:tcW w:w="678" w:type="dxa"/>
            <w:vAlign w:val="center"/>
            <w:hideMark/>
          </w:tcPr>
          <w:p w14:paraId="3CE826F5" w14:textId="77777777" w:rsidR="00244A22" w:rsidRPr="00A9685F" w:rsidRDefault="00244A22" w:rsidP="00117458">
            <w:r w:rsidRPr="00A9685F">
              <w:t>0</w:t>
            </w:r>
          </w:p>
        </w:tc>
        <w:tc>
          <w:tcPr>
            <w:tcW w:w="1246" w:type="dxa"/>
            <w:vAlign w:val="center"/>
            <w:hideMark/>
          </w:tcPr>
          <w:p w14:paraId="312B4B70" w14:textId="77777777" w:rsidR="00244A22" w:rsidRPr="00A9685F" w:rsidRDefault="00244A22" w:rsidP="00117458">
            <w:r w:rsidRPr="00A9685F">
              <w:t>0</w:t>
            </w:r>
          </w:p>
        </w:tc>
        <w:tc>
          <w:tcPr>
            <w:tcW w:w="821" w:type="dxa"/>
            <w:vAlign w:val="center"/>
            <w:hideMark/>
          </w:tcPr>
          <w:p w14:paraId="64F9D7A2" w14:textId="77777777" w:rsidR="00244A22" w:rsidRPr="00A9685F" w:rsidRDefault="00244A22" w:rsidP="00117458">
            <w:r w:rsidRPr="00A9685F">
              <w:t>1</w:t>
            </w:r>
          </w:p>
        </w:tc>
        <w:tc>
          <w:tcPr>
            <w:tcW w:w="617" w:type="dxa"/>
            <w:vAlign w:val="center"/>
            <w:hideMark/>
          </w:tcPr>
          <w:p w14:paraId="5FD25AC9" w14:textId="77777777" w:rsidR="00244A22" w:rsidRPr="00A9685F" w:rsidRDefault="00244A22" w:rsidP="00117458">
            <w:r w:rsidRPr="00A9685F">
              <w:t>1</w:t>
            </w:r>
          </w:p>
        </w:tc>
      </w:tr>
      <w:tr w:rsidR="00244A22" w:rsidRPr="00A9685F" w14:paraId="2B255CBF" w14:textId="77777777" w:rsidTr="00117458">
        <w:trPr>
          <w:tblCellSpacing w:w="15" w:type="dxa"/>
        </w:trPr>
        <w:tc>
          <w:tcPr>
            <w:tcW w:w="2217" w:type="dxa"/>
            <w:vAlign w:val="center"/>
            <w:hideMark/>
          </w:tcPr>
          <w:p w14:paraId="0A2BC07A" w14:textId="77777777" w:rsidR="00244A22" w:rsidRPr="00A9685F" w:rsidRDefault="00244A22" w:rsidP="00117458"/>
        </w:tc>
        <w:tc>
          <w:tcPr>
            <w:tcW w:w="1808" w:type="dxa"/>
            <w:vAlign w:val="center"/>
            <w:hideMark/>
          </w:tcPr>
          <w:p w14:paraId="4B83B234" w14:textId="77777777" w:rsidR="00244A22" w:rsidRPr="00A9685F" w:rsidRDefault="00244A22" w:rsidP="00117458">
            <w:r w:rsidRPr="00A9685F">
              <w:t>Unsure</w:t>
            </w:r>
          </w:p>
        </w:tc>
        <w:tc>
          <w:tcPr>
            <w:tcW w:w="690" w:type="dxa"/>
            <w:vAlign w:val="center"/>
            <w:hideMark/>
          </w:tcPr>
          <w:p w14:paraId="16586356" w14:textId="77777777" w:rsidR="00244A22" w:rsidRPr="00A9685F" w:rsidRDefault="00244A22" w:rsidP="00117458">
            <w:r w:rsidRPr="00A9685F">
              <w:t>0</w:t>
            </w:r>
          </w:p>
        </w:tc>
        <w:tc>
          <w:tcPr>
            <w:tcW w:w="679" w:type="dxa"/>
            <w:vAlign w:val="center"/>
            <w:hideMark/>
          </w:tcPr>
          <w:p w14:paraId="57E7AA0A" w14:textId="77777777" w:rsidR="00244A22" w:rsidRPr="00A9685F" w:rsidRDefault="00244A22" w:rsidP="00117458">
            <w:r w:rsidRPr="00A9685F">
              <w:t>12</w:t>
            </w:r>
          </w:p>
        </w:tc>
        <w:tc>
          <w:tcPr>
            <w:tcW w:w="678" w:type="dxa"/>
            <w:vAlign w:val="center"/>
            <w:hideMark/>
          </w:tcPr>
          <w:p w14:paraId="6D732CA1" w14:textId="77777777" w:rsidR="00244A22" w:rsidRPr="00A9685F" w:rsidRDefault="00244A22" w:rsidP="00117458">
            <w:r w:rsidRPr="00A9685F">
              <w:t>8</w:t>
            </w:r>
          </w:p>
        </w:tc>
        <w:tc>
          <w:tcPr>
            <w:tcW w:w="1246" w:type="dxa"/>
            <w:vAlign w:val="center"/>
            <w:hideMark/>
          </w:tcPr>
          <w:p w14:paraId="76840503" w14:textId="77777777" w:rsidR="00244A22" w:rsidRPr="00A9685F" w:rsidRDefault="00244A22" w:rsidP="00117458">
            <w:r w:rsidRPr="00A9685F">
              <w:t>1</w:t>
            </w:r>
          </w:p>
        </w:tc>
        <w:tc>
          <w:tcPr>
            <w:tcW w:w="821" w:type="dxa"/>
            <w:vAlign w:val="center"/>
            <w:hideMark/>
          </w:tcPr>
          <w:p w14:paraId="41C12CEA" w14:textId="77777777" w:rsidR="00244A22" w:rsidRPr="00A9685F" w:rsidRDefault="00244A22" w:rsidP="00117458">
            <w:r w:rsidRPr="00A9685F">
              <w:t>12</w:t>
            </w:r>
          </w:p>
        </w:tc>
        <w:tc>
          <w:tcPr>
            <w:tcW w:w="617" w:type="dxa"/>
            <w:vAlign w:val="center"/>
            <w:hideMark/>
          </w:tcPr>
          <w:p w14:paraId="2AE4EB58" w14:textId="77777777" w:rsidR="00244A22" w:rsidRPr="00A9685F" w:rsidRDefault="00244A22" w:rsidP="00117458">
            <w:r w:rsidRPr="00A9685F">
              <w:t>8</w:t>
            </w:r>
          </w:p>
        </w:tc>
      </w:tr>
    </w:tbl>
    <w:p w14:paraId="2BF22277" w14:textId="77777777" w:rsidR="00244A22" w:rsidRPr="00EF24AA" w:rsidRDefault="00244A22" w:rsidP="00EF24AA"/>
    <w:p w14:paraId="4DE31FFE" w14:textId="77777777" w:rsidR="00EF24AA" w:rsidRPr="00D75CCD" w:rsidRDefault="00EF24AA" w:rsidP="00D75CCD"/>
    <w:p w14:paraId="570F61EA" w14:textId="77777777" w:rsidR="00E5607C" w:rsidRDefault="00E5607C" w:rsidP="00686EC9"/>
    <w:p w14:paraId="5BC5A45C" w14:textId="77777777" w:rsidR="00AD44B7" w:rsidRDefault="00AD44B7" w:rsidP="00686EC9"/>
    <w:p w14:paraId="5253239C" w14:textId="77777777" w:rsidR="00AD44B7" w:rsidRDefault="00AD44B7" w:rsidP="00686EC9"/>
    <w:p w14:paraId="1DD078FF" w14:textId="77777777" w:rsidR="00062739" w:rsidRDefault="00062739" w:rsidP="00686EC9"/>
    <w:p w14:paraId="6419A9A3" w14:textId="77777777" w:rsidR="00062739" w:rsidRPr="00686EC9" w:rsidRDefault="00062739" w:rsidP="00686EC9"/>
    <w:p w14:paraId="6A3C742C" w14:textId="77777777" w:rsidR="00686EC9" w:rsidRPr="00686EC9" w:rsidRDefault="00686EC9" w:rsidP="00686EC9"/>
    <w:p w14:paraId="65089103" w14:textId="77777777" w:rsidR="00686EC9" w:rsidRPr="0021652F" w:rsidRDefault="00686EC9" w:rsidP="00686EC9"/>
    <w:sectPr w:rsidR="00686EC9" w:rsidRPr="0021652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09657" w14:textId="77777777" w:rsidR="00FE3D20" w:rsidRDefault="00FE3D20" w:rsidP="000E7947">
      <w:pPr>
        <w:spacing w:after="0" w:line="240" w:lineRule="auto"/>
      </w:pPr>
      <w:r>
        <w:separator/>
      </w:r>
    </w:p>
  </w:endnote>
  <w:endnote w:type="continuationSeparator" w:id="0">
    <w:p w14:paraId="4ADE359E" w14:textId="77777777" w:rsidR="00FE3D20" w:rsidRDefault="00FE3D20" w:rsidP="000E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774C" w14:textId="77777777" w:rsidR="000E7947" w:rsidRPr="000E7947" w:rsidRDefault="000E7947">
    <w:pPr>
      <w:pStyle w:val="Footer"/>
      <w:rPr>
        <w:b/>
        <w:bCs/>
        <w:sz w:val="16"/>
        <w:szCs w:val="16"/>
      </w:rPr>
    </w:pPr>
    <w:r w:rsidRPr="00682AC6">
      <w:rPr>
        <w:b/>
        <w:bCs/>
        <w:sz w:val="16"/>
        <w:szCs w:val="16"/>
      </w:rPr>
      <w:t>GAPTC Devolution Consultation Report</w:t>
    </w:r>
    <w:r w:rsidRPr="000E7947">
      <w:rPr>
        <w:b/>
        <w:bCs/>
        <w:sz w:val="16"/>
        <w:szCs w:val="16"/>
      </w:rPr>
      <w:t xml:space="preserve"> </w:t>
    </w:r>
  </w:p>
  <w:p w14:paraId="5C343DDB" w14:textId="394E919A" w:rsidR="000E7947" w:rsidRDefault="000E7947">
    <w:pPr>
      <w:pStyle w:val="Footer"/>
    </w:pPr>
    <w:r w:rsidRPr="00682AC6">
      <w:rPr>
        <w:b/>
        <w:bCs/>
        <w:color w:val="808080" w:themeColor="background1" w:themeShade="80"/>
        <w:sz w:val="16"/>
        <w:szCs w:val="16"/>
      </w:rPr>
      <w:t>Understanding Readiness, Risks and Priorities for Parish and Town Councils in Gloucestershire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C51FE" w14:textId="77777777" w:rsidR="00FE3D20" w:rsidRDefault="00FE3D20" w:rsidP="000E7947">
      <w:pPr>
        <w:spacing w:after="0" w:line="240" w:lineRule="auto"/>
      </w:pPr>
      <w:r>
        <w:separator/>
      </w:r>
    </w:p>
  </w:footnote>
  <w:footnote w:type="continuationSeparator" w:id="0">
    <w:p w14:paraId="34B62FF1" w14:textId="77777777" w:rsidR="00FE3D20" w:rsidRDefault="00FE3D20" w:rsidP="000E7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997042"/>
      <w:docPartObj>
        <w:docPartGallery w:val="Page Numbers (Top of Page)"/>
        <w:docPartUnique/>
      </w:docPartObj>
    </w:sdtPr>
    <w:sdtEndPr>
      <w:rPr>
        <w:noProof/>
      </w:rPr>
    </w:sdtEndPr>
    <w:sdtContent>
      <w:p w14:paraId="2EF817AE" w14:textId="6E57783C" w:rsidR="000E7947" w:rsidRDefault="000E794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2BF6D8" w14:textId="77777777" w:rsidR="000E7947" w:rsidRDefault="000E7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230"/>
    <w:multiLevelType w:val="multilevel"/>
    <w:tmpl w:val="C280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8605F"/>
    <w:multiLevelType w:val="multilevel"/>
    <w:tmpl w:val="F214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F14C9"/>
    <w:multiLevelType w:val="multilevel"/>
    <w:tmpl w:val="105E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500CA"/>
    <w:multiLevelType w:val="multilevel"/>
    <w:tmpl w:val="DE32B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E3C7C"/>
    <w:multiLevelType w:val="multilevel"/>
    <w:tmpl w:val="3A92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7567E5"/>
    <w:multiLevelType w:val="multilevel"/>
    <w:tmpl w:val="18AA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FC2591"/>
    <w:multiLevelType w:val="multilevel"/>
    <w:tmpl w:val="CF3A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30BDD"/>
    <w:multiLevelType w:val="multilevel"/>
    <w:tmpl w:val="8EB2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0C190A"/>
    <w:multiLevelType w:val="multilevel"/>
    <w:tmpl w:val="8BBA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086FDD"/>
    <w:multiLevelType w:val="multilevel"/>
    <w:tmpl w:val="91F4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2200EC"/>
    <w:multiLevelType w:val="multilevel"/>
    <w:tmpl w:val="0CBE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6C12BE"/>
    <w:multiLevelType w:val="multilevel"/>
    <w:tmpl w:val="6A12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B61F6E"/>
    <w:multiLevelType w:val="multilevel"/>
    <w:tmpl w:val="F38A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4A034B"/>
    <w:multiLevelType w:val="multilevel"/>
    <w:tmpl w:val="FC72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DC2C23"/>
    <w:multiLevelType w:val="multilevel"/>
    <w:tmpl w:val="1176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944147"/>
    <w:multiLevelType w:val="multilevel"/>
    <w:tmpl w:val="F056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897BBD"/>
    <w:multiLevelType w:val="multilevel"/>
    <w:tmpl w:val="9478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DC39D8"/>
    <w:multiLevelType w:val="multilevel"/>
    <w:tmpl w:val="B144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D2044F"/>
    <w:multiLevelType w:val="multilevel"/>
    <w:tmpl w:val="F1A4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AC35BE"/>
    <w:multiLevelType w:val="multilevel"/>
    <w:tmpl w:val="82E6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2E259F"/>
    <w:multiLevelType w:val="multilevel"/>
    <w:tmpl w:val="F7B8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59493F"/>
    <w:multiLevelType w:val="multilevel"/>
    <w:tmpl w:val="82E6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0A79A7"/>
    <w:multiLevelType w:val="multilevel"/>
    <w:tmpl w:val="A804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EE156F"/>
    <w:multiLevelType w:val="multilevel"/>
    <w:tmpl w:val="FF8A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9E6CDE"/>
    <w:multiLevelType w:val="multilevel"/>
    <w:tmpl w:val="82E6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5176B3"/>
    <w:multiLevelType w:val="multilevel"/>
    <w:tmpl w:val="1A0E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9420BA"/>
    <w:multiLevelType w:val="multilevel"/>
    <w:tmpl w:val="72B0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450A99"/>
    <w:multiLevelType w:val="multilevel"/>
    <w:tmpl w:val="6C46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990911"/>
    <w:multiLevelType w:val="multilevel"/>
    <w:tmpl w:val="21AA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5072F4"/>
    <w:multiLevelType w:val="multilevel"/>
    <w:tmpl w:val="8B1C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5740CD"/>
    <w:multiLevelType w:val="multilevel"/>
    <w:tmpl w:val="89C0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CB317C"/>
    <w:multiLevelType w:val="multilevel"/>
    <w:tmpl w:val="3104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F57820"/>
    <w:multiLevelType w:val="multilevel"/>
    <w:tmpl w:val="652A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E72155"/>
    <w:multiLevelType w:val="multilevel"/>
    <w:tmpl w:val="F60E0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CD0592"/>
    <w:multiLevelType w:val="multilevel"/>
    <w:tmpl w:val="CB60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F638B8"/>
    <w:multiLevelType w:val="multilevel"/>
    <w:tmpl w:val="73DC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5F7BED"/>
    <w:multiLevelType w:val="multilevel"/>
    <w:tmpl w:val="057C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5417DA"/>
    <w:multiLevelType w:val="multilevel"/>
    <w:tmpl w:val="729A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E739A1"/>
    <w:multiLevelType w:val="multilevel"/>
    <w:tmpl w:val="15385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2F7238"/>
    <w:multiLevelType w:val="multilevel"/>
    <w:tmpl w:val="345A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265365"/>
    <w:multiLevelType w:val="multilevel"/>
    <w:tmpl w:val="2EA615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9C61CDF"/>
    <w:multiLevelType w:val="multilevel"/>
    <w:tmpl w:val="B80E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63326C"/>
    <w:multiLevelType w:val="multilevel"/>
    <w:tmpl w:val="14C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421C86"/>
    <w:multiLevelType w:val="multilevel"/>
    <w:tmpl w:val="08D6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9A28A0"/>
    <w:multiLevelType w:val="multilevel"/>
    <w:tmpl w:val="596A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5673787"/>
    <w:multiLevelType w:val="multilevel"/>
    <w:tmpl w:val="82E6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E77C0E"/>
    <w:multiLevelType w:val="multilevel"/>
    <w:tmpl w:val="F33E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B00197"/>
    <w:multiLevelType w:val="multilevel"/>
    <w:tmpl w:val="82E64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1504D6"/>
    <w:multiLevelType w:val="multilevel"/>
    <w:tmpl w:val="576A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223E52"/>
    <w:multiLevelType w:val="multilevel"/>
    <w:tmpl w:val="82E6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C93328"/>
    <w:multiLevelType w:val="multilevel"/>
    <w:tmpl w:val="9394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0F55B5"/>
    <w:multiLevelType w:val="multilevel"/>
    <w:tmpl w:val="6ED0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F083EA8"/>
    <w:multiLevelType w:val="multilevel"/>
    <w:tmpl w:val="E2BE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A666C1"/>
    <w:multiLevelType w:val="multilevel"/>
    <w:tmpl w:val="988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05409A"/>
    <w:multiLevelType w:val="multilevel"/>
    <w:tmpl w:val="3456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5501381"/>
    <w:multiLevelType w:val="multilevel"/>
    <w:tmpl w:val="FD72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7E6FCF"/>
    <w:multiLevelType w:val="multilevel"/>
    <w:tmpl w:val="68D2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DB83667"/>
    <w:multiLevelType w:val="multilevel"/>
    <w:tmpl w:val="A45C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3069EF"/>
    <w:multiLevelType w:val="multilevel"/>
    <w:tmpl w:val="7C1E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4F799D"/>
    <w:multiLevelType w:val="multilevel"/>
    <w:tmpl w:val="7B66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37013B"/>
    <w:multiLevelType w:val="multilevel"/>
    <w:tmpl w:val="B35C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3A037D8"/>
    <w:multiLevelType w:val="multilevel"/>
    <w:tmpl w:val="24DE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E50279"/>
    <w:multiLevelType w:val="multilevel"/>
    <w:tmpl w:val="3566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60056D3"/>
    <w:multiLevelType w:val="multilevel"/>
    <w:tmpl w:val="6BDA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3B549F"/>
    <w:multiLevelType w:val="multilevel"/>
    <w:tmpl w:val="437A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162427"/>
    <w:multiLevelType w:val="multilevel"/>
    <w:tmpl w:val="3F18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EC3025"/>
    <w:multiLevelType w:val="multilevel"/>
    <w:tmpl w:val="9154D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FA55C0D"/>
    <w:multiLevelType w:val="multilevel"/>
    <w:tmpl w:val="74487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E62760"/>
    <w:multiLevelType w:val="multilevel"/>
    <w:tmpl w:val="9876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DA34BE"/>
    <w:multiLevelType w:val="multilevel"/>
    <w:tmpl w:val="40CC5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4524663"/>
    <w:multiLevelType w:val="multilevel"/>
    <w:tmpl w:val="0A04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C91F5C"/>
    <w:multiLevelType w:val="multilevel"/>
    <w:tmpl w:val="A854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A67F80"/>
    <w:multiLevelType w:val="multilevel"/>
    <w:tmpl w:val="4BF2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E659CE"/>
    <w:multiLevelType w:val="multilevel"/>
    <w:tmpl w:val="F34C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186DBB"/>
    <w:multiLevelType w:val="multilevel"/>
    <w:tmpl w:val="0264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19765E"/>
    <w:multiLevelType w:val="multilevel"/>
    <w:tmpl w:val="7BB0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9B7723"/>
    <w:multiLevelType w:val="multilevel"/>
    <w:tmpl w:val="AD28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0997645">
    <w:abstractNumId w:val="60"/>
  </w:num>
  <w:num w:numId="2" w16cid:durableId="944966259">
    <w:abstractNumId w:val="32"/>
  </w:num>
  <w:num w:numId="3" w16cid:durableId="1832332926">
    <w:abstractNumId w:val="6"/>
  </w:num>
  <w:num w:numId="4" w16cid:durableId="2021732630">
    <w:abstractNumId w:val="44"/>
  </w:num>
  <w:num w:numId="5" w16cid:durableId="965165568">
    <w:abstractNumId w:val="53"/>
  </w:num>
  <w:num w:numId="6" w16cid:durableId="1051660144">
    <w:abstractNumId w:val="39"/>
  </w:num>
  <w:num w:numId="7" w16cid:durableId="326136638">
    <w:abstractNumId w:val="62"/>
  </w:num>
  <w:num w:numId="8" w16cid:durableId="1001660834">
    <w:abstractNumId w:val="56"/>
  </w:num>
  <w:num w:numId="9" w16cid:durableId="1222253311">
    <w:abstractNumId w:val="68"/>
  </w:num>
  <w:num w:numId="10" w16cid:durableId="1316180916">
    <w:abstractNumId w:val="23"/>
  </w:num>
  <w:num w:numId="11" w16cid:durableId="2039549005">
    <w:abstractNumId w:val="65"/>
  </w:num>
  <w:num w:numId="12" w16cid:durableId="83188306">
    <w:abstractNumId w:val="10"/>
  </w:num>
  <w:num w:numId="13" w16cid:durableId="1976984420">
    <w:abstractNumId w:val="38"/>
  </w:num>
  <w:num w:numId="14" w16cid:durableId="2016877377">
    <w:abstractNumId w:val="43"/>
  </w:num>
  <w:num w:numId="15" w16cid:durableId="879628476">
    <w:abstractNumId w:val="40"/>
  </w:num>
  <w:num w:numId="16" w16cid:durableId="2013488274">
    <w:abstractNumId w:val="14"/>
  </w:num>
  <w:num w:numId="17" w16cid:durableId="1840777153">
    <w:abstractNumId w:val="13"/>
  </w:num>
  <w:num w:numId="18" w16cid:durableId="567571558">
    <w:abstractNumId w:val="17"/>
  </w:num>
  <w:num w:numId="19" w16cid:durableId="1582519741">
    <w:abstractNumId w:val="31"/>
  </w:num>
  <w:num w:numId="20" w16cid:durableId="448202279">
    <w:abstractNumId w:val="73"/>
  </w:num>
  <w:num w:numId="21" w16cid:durableId="228539743">
    <w:abstractNumId w:val="36"/>
  </w:num>
  <w:num w:numId="22" w16cid:durableId="785347702">
    <w:abstractNumId w:val="28"/>
  </w:num>
  <w:num w:numId="23" w16cid:durableId="721103580">
    <w:abstractNumId w:val="26"/>
  </w:num>
  <w:num w:numId="24" w16cid:durableId="1202211901">
    <w:abstractNumId w:val="74"/>
  </w:num>
  <w:num w:numId="25" w16cid:durableId="393357864">
    <w:abstractNumId w:val="11"/>
  </w:num>
  <w:num w:numId="26" w16cid:durableId="1418792752">
    <w:abstractNumId w:val="70"/>
  </w:num>
  <w:num w:numId="27" w16cid:durableId="624235144">
    <w:abstractNumId w:val="59"/>
  </w:num>
  <w:num w:numId="28" w16cid:durableId="1444155209">
    <w:abstractNumId w:val="76"/>
  </w:num>
  <w:num w:numId="29" w16cid:durableId="1964997866">
    <w:abstractNumId w:val="15"/>
  </w:num>
  <w:num w:numId="30" w16cid:durableId="345598789">
    <w:abstractNumId w:val="48"/>
  </w:num>
  <w:num w:numId="31" w16cid:durableId="1025210074">
    <w:abstractNumId w:val="52"/>
  </w:num>
  <w:num w:numId="32" w16cid:durableId="887647002">
    <w:abstractNumId w:val="55"/>
  </w:num>
  <w:num w:numId="33" w16cid:durableId="1009023930">
    <w:abstractNumId w:val="24"/>
  </w:num>
  <w:num w:numId="34" w16cid:durableId="1113792315">
    <w:abstractNumId w:val="18"/>
  </w:num>
  <w:num w:numId="35" w16cid:durableId="1898739051">
    <w:abstractNumId w:val="67"/>
  </w:num>
  <w:num w:numId="36" w16cid:durableId="536360213">
    <w:abstractNumId w:val="49"/>
  </w:num>
  <w:num w:numId="37" w16cid:durableId="117190897">
    <w:abstractNumId w:val="19"/>
  </w:num>
  <w:num w:numId="38" w16cid:durableId="472915463">
    <w:abstractNumId w:val="47"/>
  </w:num>
  <w:num w:numId="39" w16cid:durableId="1225601984">
    <w:abstractNumId w:val="21"/>
  </w:num>
  <w:num w:numId="40" w16cid:durableId="1491945888">
    <w:abstractNumId w:val="45"/>
  </w:num>
  <w:num w:numId="41" w16cid:durableId="229773108">
    <w:abstractNumId w:val="8"/>
  </w:num>
  <w:num w:numId="42" w16cid:durableId="390226416">
    <w:abstractNumId w:val="5"/>
  </w:num>
  <w:num w:numId="43" w16cid:durableId="1723209121">
    <w:abstractNumId w:val="64"/>
  </w:num>
  <w:num w:numId="44" w16cid:durableId="1380398249">
    <w:abstractNumId w:val="4"/>
  </w:num>
  <w:num w:numId="45" w16cid:durableId="146169212">
    <w:abstractNumId w:val="72"/>
  </w:num>
  <w:num w:numId="46" w16cid:durableId="127820423">
    <w:abstractNumId w:val="41"/>
  </w:num>
  <w:num w:numId="47" w16cid:durableId="2013332379">
    <w:abstractNumId w:val="25"/>
  </w:num>
  <w:num w:numId="48" w16cid:durableId="35548958">
    <w:abstractNumId w:val="12"/>
  </w:num>
  <w:num w:numId="49" w16cid:durableId="258174982">
    <w:abstractNumId w:val="27"/>
  </w:num>
  <w:num w:numId="50" w16cid:durableId="361513534">
    <w:abstractNumId w:val="1"/>
  </w:num>
  <w:num w:numId="51" w16cid:durableId="956522936">
    <w:abstractNumId w:val="7"/>
  </w:num>
  <w:num w:numId="52" w16cid:durableId="836000887">
    <w:abstractNumId w:val="0"/>
  </w:num>
  <w:num w:numId="53" w16cid:durableId="892347552">
    <w:abstractNumId w:val="46"/>
  </w:num>
  <w:num w:numId="54" w16cid:durableId="1226256051">
    <w:abstractNumId w:val="20"/>
  </w:num>
  <w:num w:numId="55" w16cid:durableId="567962470">
    <w:abstractNumId w:val="66"/>
  </w:num>
  <w:num w:numId="56" w16cid:durableId="434636088">
    <w:abstractNumId w:val="58"/>
  </w:num>
  <w:num w:numId="57" w16cid:durableId="698312812">
    <w:abstractNumId w:val="57"/>
  </w:num>
  <w:num w:numId="58" w16cid:durableId="763577543">
    <w:abstractNumId w:val="30"/>
  </w:num>
  <w:num w:numId="59" w16cid:durableId="865099958">
    <w:abstractNumId w:val="50"/>
  </w:num>
  <w:num w:numId="60" w16cid:durableId="498615701">
    <w:abstractNumId w:val="42"/>
  </w:num>
  <w:num w:numId="61" w16cid:durableId="533662357">
    <w:abstractNumId w:val="37"/>
  </w:num>
  <w:num w:numId="62" w16cid:durableId="288896604">
    <w:abstractNumId w:val="35"/>
  </w:num>
  <w:num w:numId="63" w16cid:durableId="1620987551">
    <w:abstractNumId w:val="34"/>
  </w:num>
  <w:num w:numId="64" w16cid:durableId="1820029612">
    <w:abstractNumId w:val="63"/>
  </w:num>
  <w:num w:numId="65" w16cid:durableId="1354771998">
    <w:abstractNumId w:val="71"/>
  </w:num>
  <w:num w:numId="66" w16cid:durableId="1608351575">
    <w:abstractNumId w:val="33"/>
  </w:num>
  <w:num w:numId="67" w16cid:durableId="1290090981">
    <w:abstractNumId w:val="75"/>
  </w:num>
  <w:num w:numId="68" w16cid:durableId="2049334964">
    <w:abstractNumId w:val="51"/>
  </w:num>
  <w:num w:numId="69" w16cid:durableId="1762069757">
    <w:abstractNumId w:val="3"/>
  </w:num>
  <w:num w:numId="70" w16cid:durableId="390812373">
    <w:abstractNumId w:val="69"/>
  </w:num>
  <w:num w:numId="71" w16cid:durableId="1144741604">
    <w:abstractNumId w:val="61"/>
  </w:num>
  <w:num w:numId="72" w16cid:durableId="1443721456">
    <w:abstractNumId w:val="22"/>
  </w:num>
  <w:num w:numId="73" w16cid:durableId="914627432">
    <w:abstractNumId w:val="2"/>
  </w:num>
  <w:num w:numId="74" w16cid:durableId="2102023444">
    <w:abstractNumId w:val="9"/>
  </w:num>
  <w:num w:numId="75" w16cid:durableId="212348568">
    <w:abstractNumId w:val="16"/>
  </w:num>
  <w:num w:numId="76" w16cid:durableId="845897566">
    <w:abstractNumId w:val="29"/>
  </w:num>
  <w:num w:numId="77" w16cid:durableId="1145470180">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73"/>
    <w:rsid w:val="00002E1A"/>
    <w:rsid w:val="00031620"/>
    <w:rsid w:val="00062739"/>
    <w:rsid w:val="00076C52"/>
    <w:rsid w:val="000A295A"/>
    <w:rsid w:val="000B59A6"/>
    <w:rsid w:val="000D1E3E"/>
    <w:rsid w:val="000E7947"/>
    <w:rsid w:val="00130C44"/>
    <w:rsid w:val="0018321A"/>
    <w:rsid w:val="001A6D13"/>
    <w:rsid w:val="0021652F"/>
    <w:rsid w:val="00244A22"/>
    <w:rsid w:val="002A23B7"/>
    <w:rsid w:val="002D162B"/>
    <w:rsid w:val="0034097B"/>
    <w:rsid w:val="003522B2"/>
    <w:rsid w:val="00356173"/>
    <w:rsid w:val="00376DA2"/>
    <w:rsid w:val="0039014C"/>
    <w:rsid w:val="00392FFD"/>
    <w:rsid w:val="003B4D5E"/>
    <w:rsid w:val="003D7449"/>
    <w:rsid w:val="004209E9"/>
    <w:rsid w:val="004342C8"/>
    <w:rsid w:val="0043582F"/>
    <w:rsid w:val="00445CE7"/>
    <w:rsid w:val="00451E77"/>
    <w:rsid w:val="004757AB"/>
    <w:rsid w:val="004D4BC9"/>
    <w:rsid w:val="004F6A54"/>
    <w:rsid w:val="005152CB"/>
    <w:rsid w:val="00530432"/>
    <w:rsid w:val="005F78EB"/>
    <w:rsid w:val="00630E74"/>
    <w:rsid w:val="00682AC6"/>
    <w:rsid w:val="00686EC9"/>
    <w:rsid w:val="00744748"/>
    <w:rsid w:val="007464BC"/>
    <w:rsid w:val="008B09EA"/>
    <w:rsid w:val="00904815"/>
    <w:rsid w:val="00926CF3"/>
    <w:rsid w:val="00955B58"/>
    <w:rsid w:val="0096564C"/>
    <w:rsid w:val="009A4E1D"/>
    <w:rsid w:val="00A9685F"/>
    <w:rsid w:val="00AD44B7"/>
    <w:rsid w:val="00B35812"/>
    <w:rsid w:val="00B370E3"/>
    <w:rsid w:val="00BA1392"/>
    <w:rsid w:val="00BD151D"/>
    <w:rsid w:val="00C503BB"/>
    <w:rsid w:val="00C5466A"/>
    <w:rsid w:val="00C72315"/>
    <w:rsid w:val="00CA21BD"/>
    <w:rsid w:val="00CC0084"/>
    <w:rsid w:val="00D34CEC"/>
    <w:rsid w:val="00D75CCD"/>
    <w:rsid w:val="00DA5DC5"/>
    <w:rsid w:val="00DE42BD"/>
    <w:rsid w:val="00E218CE"/>
    <w:rsid w:val="00E2402B"/>
    <w:rsid w:val="00E3684B"/>
    <w:rsid w:val="00E50E70"/>
    <w:rsid w:val="00E5410B"/>
    <w:rsid w:val="00E5607C"/>
    <w:rsid w:val="00E7639F"/>
    <w:rsid w:val="00EC04F3"/>
    <w:rsid w:val="00EF24AA"/>
    <w:rsid w:val="00F0444B"/>
    <w:rsid w:val="00F04F0F"/>
    <w:rsid w:val="00F56C12"/>
    <w:rsid w:val="00F70656"/>
    <w:rsid w:val="00F97D6C"/>
    <w:rsid w:val="00FE3D20"/>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A2CF"/>
  <w15:chartTrackingRefBased/>
  <w15:docId w15:val="{1123A40B-56F0-496A-8749-1CE31E21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1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561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561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1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1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1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1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1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1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1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561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561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1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1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1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1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1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173"/>
    <w:rPr>
      <w:rFonts w:eastAsiaTheme="majorEastAsia" w:cstheme="majorBidi"/>
      <w:color w:val="272727" w:themeColor="text1" w:themeTint="D8"/>
    </w:rPr>
  </w:style>
  <w:style w:type="paragraph" w:styleId="Title">
    <w:name w:val="Title"/>
    <w:basedOn w:val="Normal"/>
    <w:next w:val="Normal"/>
    <w:link w:val="TitleChar"/>
    <w:uiPriority w:val="10"/>
    <w:qFormat/>
    <w:rsid w:val="003561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1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1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1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173"/>
    <w:pPr>
      <w:spacing w:before="160"/>
      <w:jc w:val="center"/>
    </w:pPr>
    <w:rPr>
      <w:i/>
      <w:iCs/>
      <w:color w:val="404040" w:themeColor="text1" w:themeTint="BF"/>
    </w:rPr>
  </w:style>
  <w:style w:type="character" w:customStyle="1" w:styleId="QuoteChar">
    <w:name w:val="Quote Char"/>
    <w:basedOn w:val="DefaultParagraphFont"/>
    <w:link w:val="Quote"/>
    <w:uiPriority w:val="29"/>
    <w:rsid w:val="00356173"/>
    <w:rPr>
      <w:i/>
      <w:iCs/>
      <w:color w:val="404040" w:themeColor="text1" w:themeTint="BF"/>
    </w:rPr>
  </w:style>
  <w:style w:type="paragraph" w:styleId="ListParagraph">
    <w:name w:val="List Paragraph"/>
    <w:basedOn w:val="Normal"/>
    <w:uiPriority w:val="34"/>
    <w:qFormat/>
    <w:rsid w:val="00356173"/>
    <w:pPr>
      <w:ind w:left="720"/>
      <w:contextualSpacing/>
    </w:pPr>
  </w:style>
  <w:style w:type="character" w:styleId="IntenseEmphasis">
    <w:name w:val="Intense Emphasis"/>
    <w:basedOn w:val="DefaultParagraphFont"/>
    <w:uiPriority w:val="21"/>
    <w:qFormat/>
    <w:rsid w:val="00356173"/>
    <w:rPr>
      <w:i/>
      <w:iCs/>
      <w:color w:val="0F4761" w:themeColor="accent1" w:themeShade="BF"/>
    </w:rPr>
  </w:style>
  <w:style w:type="paragraph" w:styleId="IntenseQuote">
    <w:name w:val="Intense Quote"/>
    <w:basedOn w:val="Normal"/>
    <w:next w:val="Normal"/>
    <w:link w:val="IntenseQuoteChar"/>
    <w:uiPriority w:val="30"/>
    <w:qFormat/>
    <w:rsid w:val="003561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173"/>
    <w:rPr>
      <w:i/>
      <w:iCs/>
      <w:color w:val="0F4761" w:themeColor="accent1" w:themeShade="BF"/>
    </w:rPr>
  </w:style>
  <w:style w:type="character" w:styleId="IntenseReference">
    <w:name w:val="Intense Reference"/>
    <w:basedOn w:val="DefaultParagraphFont"/>
    <w:uiPriority w:val="32"/>
    <w:qFormat/>
    <w:rsid w:val="00356173"/>
    <w:rPr>
      <w:b/>
      <w:bCs/>
      <w:smallCaps/>
      <w:color w:val="0F4761" w:themeColor="accent1" w:themeShade="BF"/>
      <w:spacing w:val="5"/>
    </w:rPr>
  </w:style>
  <w:style w:type="character" w:styleId="Strong">
    <w:name w:val="Strong"/>
    <w:basedOn w:val="DefaultParagraphFont"/>
    <w:uiPriority w:val="22"/>
    <w:qFormat/>
    <w:rsid w:val="0043582F"/>
    <w:rPr>
      <w:b/>
      <w:bCs/>
    </w:rPr>
  </w:style>
  <w:style w:type="paragraph" w:styleId="NormalWeb">
    <w:name w:val="Normal (Web)"/>
    <w:basedOn w:val="Normal"/>
    <w:uiPriority w:val="99"/>
    <w:semiHidden/>
    <w:unhideWhenUsed/>
    <w:rsid w:val="004358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3B4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B4D5E"/>
    <w:rPr>
      <w:i/>
      <w:iCs/>
    </w:rPr>
  </w:style>
  <w:style w:type="character" w:customStyle="1" w:styleId="sr-only">
    <w:name w:val="sr-only"/>
    <w:basedOn w:val="DefaultParagraphFont"/>
    <w:rsid w:val="00031620"/>
  </w:style>
  <w:style w:type="paragraph" w:styleId="Header">
    <w:name w:val="header"/>
    <w:basedOn w:val="Normal"/>
    <w:link w:val="HeaderChar"/>
    <w:uiPriority w:val="99"/>
    <w:unhideWhenUsed/>
    <w:rsid w:val="000E79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947"/>
  </w:style>
  <w:style w:type="paragraph" w:styleId="Footer">
    <w:name w:val="footer"/>
    <w:basedOn w:val="Normal"/>
    <w:link w:val="FooterChar"/>
    <w:uiPriority w:val="99"/>
    <w:unhideWhenUsed/>
    <w:rsid w:val="000E7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3019">
      <w:bodyDiv w:val="1"/>
      <w:marLeft w:val="0"/>
      <w:marRight w:val="0"/>
      <w:marTop w:val="0"/>
      <w:marBottom w:val="0"/>
      <w:divBdr>
        <w:top w:val="none" w:sz="0" w:space="0" w:color="auto"/>
        <w:left w:val="none" w:sz="0" w:space="0" w:color="auto"/>
        <w:bottom w:val="none" w:sz="0" w:space="0" w:color="auto"/>
        <w:right w:val="none" w:sz="0" w:space="0" w:color="auto"/>
      </w:divBdr>
    </w:div>
    <w:div w:id="26608173">
      <w:bodyDiv w:val="1"/>
      <w:marLeft w:val="0"/>
      <w:marRight w:val="0"/>
      <w:marTop w:val="0"/>
      <w:marBottom w:val="0"/>
      <w:divBdr>
        <w:top w:val="none" w:sz="0" w:space="0" w:color="auto"/>
        <w:left w:val="none" w:sz="0" w:space="0" w:color="auto"/>
        <w:bottom w:val="none" w:sz="0" w:space="0" w:color="auto"/>
        <w:right w:val="none" w:sz="0" w:space="0" w:color="auto"/>
      </w:divBdr>
      <w:divsChild>
        <w:div w:id="16781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116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115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900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54500">
      <w:bodyDiv w:val="1"/>
      <w:marLeft w:val="0"/>
      <w:marRight w:val="0"/>
      <w:marTop w:val="0"/>
      <w:marBottom w:val="0"/>
      <w:divBdr>
        <w:top w:val="none" w:sz="0" w:space="0" w:color="auto"/>
        <w:left w:val="none" w:sz="0" w:space="0" w:color="auto"/>
        <w:bottom w:val="none" w:sz="0" w:space="0" w:color="auto"/>
        <w:right w:val="none" w:sz="0" w:space="0" w:color="auto"/>
      </w:divBdr>
    </w:div>
    <w:div w:id="93287184">
      <w:bodyDiv w:val="1"/>
      <w:marLeft w:val="0"/>
      <w:marRight w:val="0"/>
      <w:marTop w:val="0"/>
      <w:marBottom w:val="0"/>
      <w:divBdr>
        <w:top w:val="none" w:sz="0" w:space="0" w:color="auto"/>
        <w:left w:val="none" w:sz="0" w:space="0" w:color="auto"/>
        <w:bottom w:val="none" w:sz="0" w:space="0" w:color="auto"/>
        <w:right w:val="none" w:sz="0" w:space="0" w:color="auto"/>
      </w:divBdr>
    </w:div>
    <w:div w:id="113795776">
      <w:bodyDiv w:val="1"/>
      <w:marLeft w:val="0"/>
      <w:marRight w:val="0"/>
      <w:marTop w:val="0"/>
      <w:marBottom w:val="0"/>
      <w:divBdr>
        <w:top w:val="none" w:sz="0" w:space="0" w:color="auto"/>
        <w:left w:val="none" w:sz="0" w:space="0" w:color="auto"/>
        <w:bottom w:val="none" w:sz="0" w:space="0" w:color="auto"/>
        <w:right w:val="none" w:sz="0" w:space="0" w:color="auto"/>
      </w:divBdr>
    </w:div>
    <w:div w:id="124011576">
      <w:bodyDiv w:val="1"/>
      <w:marLeft w:val="0"/>
      <w:marRight w:val="0"/>
      <w:marTop w:val="0"/>
      <w:marBottom w:val="0"/>
      <w:divBdr>
        <w:top w:val="none" w:sz="0" w:space="0" w:color="auto"/>
        <w:left w:val="none" w:sz="0" w:space="0" w:color="auto"/>
        <w:bottom w:val="none" w:sz="0" w:space="0" w:color="auto"/>
        <w:right w:val="none" w:sz="0" w:space="0" w:color="auto"/>
      </w:divBdr>
    </w:div>
    <w:div w:id="137723563">
      <w:bodyDiv w:val="1"/>
      <w:marLeft w:val="0"/>
      <w:marRight w:val="0"/>
      <w:marTop w:val="0"/>
      <w:marBottom w:val="0"/>
      <w:divBdr>
        <w:top w:val="none" w:sz="0" w:space="0" w:color="auto"/>
        <w:left w:val="none" w:sz="0" w:space="0" w:color="auto"/>
        <w:bottom w:val="none" w:sz="0" w:space="0" w:color="auto"/>
        <w:right w:val="none" w:sz="0" w:space="0" w:color="auto"/>
      </w:divBdr>
    </w:div>
    <w:div w:id="158885563">
      <w:bodyDiv w:val="1"/>
      <w:marLeft w:val="0"/>
      <w:marRight w:val="0"/>
      <w:marTop w:val="0"/>
      <w:marBottom w:val="0"/>
      <w:divBdr>
        <w:top w:val="none" w:sz="0" w:space="0" w:color="auto"/>
        <w:left w:val="none" w:sz="0" w:space="0" w:color="auto"/>
        <w:bottom w:val="none" w:sz="0" w:space="0" w:color="auto"/>
        <w:right w:val="none" w:sz="0" w:space="0" w:color="auto"/>
      </w:divBdr>
    </w:div>
    <w:div w:id="159737472">
      <w:bodyDiv w:val="1"/>
      <w:marLeft w:val="0"/>
      <w:marRight w:val="0"/>
      <w:marTop w:val="0"/>
      <w:marBottom w:val="0"/>
      <w:divBdr>
        <w:top w:val="none" w:sz="0" w:space="0" w:color="auto"/>
        <w:left w:val="none" w:sz="0" w:space="0" w:color="auto"/>
        <w:bottom w:val="none" w:sz="0" w:space="0" w:color="auto"/>
        <w:right w:val="none" w:sz="0" w:space="0" w:color="auto"/>
      </w:divBdr>
    </w:div>
    <w:div w:id="169219635">
      <w:bodyDiv w:val="1"/>
      <w:marLeft w:val="0"/>
      <w:marRight w:val="0"/>
      <w:marTop w:val="0"/>
      <w:marBottom w:val="0"/>
      <w:divBdr>
        <w:top w:val="none" w:sz="0" w:space="0" w:color="auto"/>
        <w:left w:val="none" w:sz="0" w:space="0" w:color="auto"/>
        <w:bottom w:val="none" w:sz="0" w:space="0" w:color="auto"/>
        <w:right w:val="none" w:sz="0" w:space="0" w:color="auto"/>
      </w:divBdr>
    </w:div>
    <w:div w:id="228420259">
      <w:bodyDiv w:val="1"/>
      <w:marLeft w:val="0"/>
      <w:marRight w:val="0"/>
      <w:marTop w:val="0"/>
      <w:marBottom w:val="0"/>
      <w:divBdr>
        <w:top w:val="none" w:sz="0" w:space="0" w:color="auto"/>
        <w:left w:val="none" w:sz="0" w:space="0" w:color="auto"/>
        <w:bottom w:val="none" w:sz="0" w:space="0" w:color="auto"/>
        <w:right w:val="none" w:sz="0" w:space="0" w:color="auto"/>
      </w:divBdr>
      <w:divsChild>
        <w:div w:id="1959678041">
          <w:marLeft w:val="0"/>
          <w:marRight w:val="0"/>
          <w:marTop w:val="0"/>
          <w:marBottom w:val="0"/>
          <w:divBdr>
            <w:top w:val="none" w:sz="0" w:space="0" w:color="auto"/>
            <w:left w:val="none" w:sz="0" w:space="0" w:color="auto"/>
            <w:bottom w:val="none" w:sz="0" w:space="0" w:color="auto"/>
            <w:right w:val="none" w:sz="0" w:space="0" w:color="auto"/>
          </w:divBdr>
          <w:divsChild>
            <w:div w:id="578293494">
              <w:marLeft w:val="0"/>
              <w:marRight w:val="0"/>
              <w:marTop w:val="0"/>
              <w:marBottom w:val="0"/>
              <w:divBdr>
                <w:top w:val="none" w:sz="0" w:space="0" w:color="auto"/>
                <w:left w:val="none" w:sz="0" w:space="0" w:color="auto"/>
                <w:bottom w:val="none" w:sz="0" w:space="0" w:color="auto"/>
                <w:right w:val="none" w:sz="0" w:space="0" w:color="auto"/>
              </w:divBdr>
              <w:divsChild>
                <w:div w:id="1693679289">
                  <w:marLeft w:val="0"/>
                  <w:marRight w:val="0"/>
                  <w:marTop w:val="0"/>
                  <w:marBottom w:val="0"/>
                  <w:divBdr>
                    <w:top w:val="none" w:sz="0" w:space="0" w:color="auto"/>
                    <w:left w:val="none" w:sz="0" w:space="0" w:color="auto"/>
                    <w:bottom w:val="none" w:sz="0" w:space="0" w:color="auto"/>
                    <w:right w:val="none" w:sz="0" w:space="0" w:color="auto"/>
                  </w:divBdr>
                  <w:divsChild>
                    <w:div w:id="1356299877">
                      <w:marLeft w:val="0"/>
                      <w:marRight w:val="0"/>
                      <w:marTop w:val="0"/>
                      <w:marBottom w:val="0"/>
                      <w:divBdr>
                        <w:top w:val="none" w:sz="0" w:space="0" w:color="auto"/>
                        <w:left w:val="none" w:sz="0" w:space="0" w:color="auto"/>
                        <w:bottom w:val="none" w:sz="0" w:space="0" w:color="auto"/>
                        <w:right w:val="none" w:sz="0" w:space="0" w:color="auto"/>
                      </w:divBdr>
                      <w:divsChild>
                        <w:div w:id="475996228">
                          <w:marLeft w:val="0"/>
                          <w:marRight w:val="0"/>
                          <w:marTop w:val="0"/>
                          <w:marBottom w:val="0"/>
                          <w:divBdr>
                            <w:top w:val="none" w:sz="0" w:space="0" w:color="auto"/>
                            <w:left w:val="none" w:sz="0" w:space="0" w:color="auto"/>
                            <w:bottom w:val="none" w:sz="0" w:space="0" w:color="auto"/>
                            <w:right w:val="none" w:sz="0" w:space="0" w:color="auto"/>
                          </w:divBdr>
                          <w:divsChild>
                            <w:div w:id="180973306">
                              <w:marLeft w:val="0"/>
                              <w:marRight w:val="0"/>
                              <w:marTop w:val="0"/>
                              <w:marBottom w:val="0"/>
                              <w:divBdr>
                                <w:top w:val="none" w:sz="0" w:space="0" w:color="auto"/>
                                <w:left w:val="none" w:sz="0" w:space="0" w:color="auto"/>
                                <w:bottom w:val="none" w:sz="0" w:space="0" w:color="auto"/>
                                <w:right w:val="none" w:sz="0" w:space="0" w:color="auto"/>
                              </w:divBdr>
                              <w:divsChild>
                                <w:div w:id="748043282">
                                  <w:marLeft w:val="0"/>
                                  <w:marRight w:val="0"/>
                                  <w:marTop w:val="0"/>
                                  <w:marBottom w:val="0"/>
                                  <w:divBdr>
                                    <w:top w:val="none" w:sz="0" w:space="0" w:color="auto"/>
                                    <w:left w:val="none" w:sz="0" w:space="0" w:color="auto"/>
                                    <w:bottom w:val="none" w:sz="0" w:space="0" w:color="auto"/>
                                    <w:right w:val="none" w:sz="0" w:space="0" w:color="auto"/>
                                  </w:divBdr>
                                  <w:divsChild>
                                    <w:div w:id="18153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57016">
                      <w:marLeft w:val="0"/>
                      <w:marRight w:val="0"/>
                      <w:marTop w:val="0"/>
                      <w:marBottom w:val="0"/>
                      <w:divBdr>
                        <w:top w:val="none" w:sz="0" w:space="0" w:color="auto"/>
                        <w:left w:val="none" w:sz="0" w:space="0" w:color="auto"/>
                        <w:bottom w:val="none" w:sz="0" w:space="0" w:color="auto"/>
                        <w:right w:val="none" w:sz="0" w:space="0" w:color="auto"/>
                      </w:divBdr>
                      <w:divsChild>
                        <w:div w:id="4618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943749">
      <w:bodyDiv w:val="1"/>
      <w:marLeft w:val="0"/>
      <w:marRight w:val="0"/>
      <w:marTop w:val="0"/>
      <w:marBottom w:val="0"/>
      <w:divBdr>
        <w:top w:val="none" w:sz="0" w:space="0" w:color="auto"/>
        <w:left w:val="none" w:sz="0" w:space="0" w:color="auto"/>
        <w:bottom w:val="none" w:sz="0" w:space="0" w:color="auto"/>
        <w:right w:val="none" w:sz="0" w:space="0" w:color="auto"/>
      </w:divBdr>
    </w:div>
    <w:div w:id="258685018">
      <w:bodyDiv w:val="1"/>
      <w:marLeft w:val="0"/>
      <w:marRight w:val="0"/>
      <w:marTop w:val="0"/>
      <w:marBottom w:val="0"/>
      <w:divBdr>
        <w:top w:val="none" w:sz="0" w:space="0" w:color="auto"/>
        <w:left w:val="none" w:sz="0" w:space="0" w:color="auto"/>
        <w:bottom w:val="none" w:sz="0" w:space="0" w:color="auto"/>
        <w:right w:val="none" w:sz="0" w:space="0" w:color="auto"/>
      </w:divBdr>
    </w:div>
    <w:div w:id="295182829">
      <w:bodyDiv w:val="1"/>
      <w:marLeft w:val="0"/>
      <w:marRight w:val="0"/>
      <w:marTop w:val="0"/>
      <w:marBottom w:val="0"/>
      <w:divBdr>
        <w:top w:val="none" w:sz="0" w:space="0" w:color="auto"/>
        <w:left w:val="none" w:sz="0" w:space="0" w:color="auto"/>
        <w:bottom w:val="none" w:sz="0" w:space="0" w:color="auto"/>
        <w:right w:val="none" w:sz="0" w:space="0" w:color="auto"/>
      </w:divBdr>
    </w:div>
    <w:div w:id="303391111">
      <w:bodyDiv w:val="1"/>
      <w:marLeft w:val="0"/>
      <w:marRight w:val="0"/>
      <w:marTop w:val="0"/>
      <w:marBottom w:val="0"/>
      <w:divBdr>
        <w:top w:val="none" w:sz="0" w:space="0" w:color="auto"/>
        <w:left w:val="none" w:sz="0" w:space="0" w:color="auto"/>
        <w:bottom w:val="none" w:sz="0" w:space="0" w:color="auto"/>
        <w:right w:val="none" w:sz="0" w:space="0" w:color="auto"/>
      </w:divBdr>
    </w:div>
    <w:div w:id="320503397">
      <w:bodyDiv w:val="1"/>
      <w:marLeft w:val="0"/>
      <w:marRight w:val="0"/>
      <w:marTop w:val="0"/>
      <w:marBottom w:val="0"/>
      <w:divBdr>
        <w:top w:val="none" w:sz="0" w:space="0" w:color="auto"/>
        <w:left w:val="none" w:sz="0" w:space="0" w:color="auto"/>
        <w:bottom w:val="none" w:sz="0" w:space="0" w:color="auto"/>
        <w:right w:val="none" w:sz="0" w:space="0" w:color="auto"/>
      </w:divBdr>
      <w:divsChild>
        <w:div w:id="904031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80819">
          <w:blockQuote w:val="1"/>
          <w:marLeft w:val="720"/>
          <w:marRight w:val="720"/>
          <w:marTop w:val="100"/>
          <w:marBottom w:val="100"/>
          <w:divBdr>
            <w:top w:val="none" w:sz="0" w:space="0" w:color="auto"/>
            <w:left w:val="none" w:sz="0" w:space="0" w:color="auto"/>
            <w:bottom w:val="none" w:sz="0" w:space="0" w:color="auto"/>
            <w:right w:val="none" w:sz="0" w:space="0" w:color="auto"/>
          </w:divBdr>
        </w:div>
        <w:div w:id="912592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214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584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177204">
      <w:bodyDiv w:val="1"/>
      <w:marLeft w:val="0"/>
      <w:marRight w:val="0"/>
      <w:marTop w:val="0"/>
      <w:marBottom w:val="0"/>
      <w:divBdr>
        <w:top w:val="none" w:sz="0" w:space="0" w:color="auto"/>
        <w:left w:val="none" w:sz="0" w:space="0" w:color="auto"/>
        <w:bottom w:val="none" w:sz="0" w:space="0" w:color="auto"/>
        <w:right w:val="none" w:sz="0" w:space="0" w:color="auto"/>
      </w:divBdr>
    </w:div>
    <w:div w:id="339965417">
      <w:bodyDiv w:val="1"/>
      <w:marLeft w:val="0"/>
      <w:marRight w:val="0"/>
      <w:marTop w:val="0"/>
      <w:marBottom w:val="0"/>
      <w:divBdr>
        <w:top w:val="none" w:sz="0" w:space="0" w:color="auto"/>
        <w:left w:val="none" w:sz="0" w:space="0" w:color="auto"/>
        <w:bottom w:val="none" w:sz="0" w:space="0" w:color="auto"/>
        <w:right w:val="none" w:sz="0" w:space="0" w:color="auto"/>
      </w:divBdr>
    </w:div>
    <w:div w:id="341973509">
      <w:bodyDiv w:val="1"/>
      <w:marLeft w:val="0"/>
      <w:marRight w:val="0"/>
      <w:marTop w:val="0"/>
      <w:marBottom w:val="0"/>
      <w:divBdr>
        <w:top w:val="none" w:sz="0" w:space="0" w:color="auto"/>
        <w:left w:val="none" w:sz="0" w:space="0" w:color="auto"/>
        <w:bottom w:val="none" w:sz="0" w:space="0" w:color="auto"/>
        <w:right w:val="none" w:sz="0" w:space="0" w:color="auto"/>
      </w:divBdr>
    </w:div>
    <w:div w:id="352877084">
      <w:bodyDiv w:val="1"/>
      <w:marLeft w:val="0"/>
      <w:marRight w:val="0"/>
      <w:marTop w:val="0"/>
      <w:marBottom w:val="0"/>
      <w:divBdr>
        <w:top w:val="none" w:sz="0" w:space="0" w:color="auto"/>
        <w:left w:val="none" w:sz="0" w:space="0" w:color="auto"/>
        <w:bottom w:val="none" w:sz="0" w:space="0" w:color="auto"/>
        <w:right w:val="none" w:sz="0" w:space="0" w:color="auto"/>
      </w:divBdr>
    </w:div>
    <w:div w:id="371460443">
      <w:bodyDiv w:val="1"/>
      <w:marLeft w:val="0"/>
      <w:marRight w:val="0"/>
      <w:marTop w:val="0"/>
      <w:marBottom w:val="0"/>
      <w:divBdr>
        <w:top w:val="none" w:sz="0" w:space="0" w:color="auto"/>
        <w:left w:val="none" w:sz="0" w:space="0" w:color="auto"/>
        <w:bottom w:val="none" w:sz="0" w:space="0" w:color="auto"/>
        <w:right w:val="none" w:sz="0" w:space="0" w:color="auto"/>
      </w:divBdr>
    </w:div>
    <w:div w:id="375202612">
      <w:bodyDiv w:val="1"/>
      <w:marLeft w:val="0"/>
      <w:marRight w:val="0"/>
      <w:marTop w:val="0"/>
      <w:marBottom w:val="0"/>
      <w:divBdr>
        <w:top w:val="none" w:sz="0" w:space="0" w:color="auto"/>
        <w:left w:val="none" w:sz="0" w:space="0" w:color="auto"/>
        <w:bottom w:val="none" w:sz="0" w:space="0" w:color="auto"/>
        <w:right w:val="none" w:sz="0" w:space="0" w:color="auto"/>
      </w:divBdr>
    </w:div>
    <w:div w:id="388311321">
      <w:bodyDiv w:val="1"/>
      <w:marLeft w:val="0"/>
      <w:marRight w:val="0"/>
      <w:marTop w:val="0"/>
      <w:marBottom w:val="0"/>
      <w:divBdr>
        <w:top w:val="none" w:sz="0" w:space="0" w:color="auto"/>
        <w:left w:val="none" w:sz="0" w:space="0" w:color="auto"/>
        <w:bottom w:val="none" w:sz="0" w:space="0" w:color="auto"/>
        <w:right w:val="none" w:sz="0" w:space="0" w:color="auto"/>
      </w:divBdr>
    </w:div>
    <w:div w:id="393620540">
      <w:bodyDiv w:val="1"/>
      <w:marLeft w:val="0"/>
      <w:marRight w:val="0"/>
      <w:marTop w:val="0"/>
      <w:marBottom w:val="0"/>
      <w:divBdr>
        <w:top w:val="none" w:sz="0" w:space="0" w:color="auto"/>
        <w:left w:val="none" w:sz="0" w:space="0" w:color="auto"/>
        <w:bottom w:val="none" w:sz="0" w:space="0" w:color="auto"/>
        <w:right w:val="none" w:sz="0" w:space="0" w:color="auto"/>
      </w:divBdr>
    </w:div>
    <w:div w:id="452749515">
      <w:bodyDiv w:val="1"/>
      <w:marLeft w:val="0"/>
      <w:marRight w:val="0"/>
      <w:marTop w:val="0"/>
      <w:marBottom w:val="0"/>
      <w:divBdr>
        <w:top w:val="none" w:sz="0" w:space="0" w:color="auto"/>
        <w:left w:val="none" w:sz="0" w:space="0" w:color="auto"/>
        <w:bottom w:val="none" w:sz="0" w:space="0" w:color="auto"/>
        <w:right w:val="none" w:sz="0" w:space="0" w:color="auto"/>
      </w:divBdr>
    </w:div>
    <w:div w:id="485055152">
      <w:bodyDiv w:val="1"/>
      <w:marLeft w:val="0"/>
      <w:marRight w:val="0"/>
      <w:marTop w:val="0"/>
      <w:marBottom w:val="0"/>
      <w:divBdr>
        <w:top w:val="none" w:sz="0" w:space="0" w:color="auto"/>
        <w:left w:val="none" w:sz="0" w:space="0" w:color="auto"/>
        <w:bottom w:val="none" w:sz="0" w:space="0" w:color="auto"/>
        <w:right w:val="none" w:sz="0" w:space="0" w:color="auto"/>
      </w:divBdr>
    </w:div>
    <w:div w:id="492792608">
      <w:bodyDiv w:val="1"/>
      <w:marLeft w:val="0"/>
      <w:marRight w:val="0"/>
      <w:marTop w:val="0"/>
      <w:marBottom w:val="0"/>
      <w:divBdr>
        <w:top w:val="none" w:sz="0" w:space="0" w:color="auto"/>
        <w:left w:val="none" w:sz="0" w:space="0" w:color="auto"/>
        <w:bottom w:val="none" w:sz="0" w:space="0" w:color="auto"/>
        <w:right w:val="none" w:sz="0" w:space="0" w:color="auto"/>
      </w:divBdr>
      <w:divsChild>
        <w:div w:id="1099762723">
          <w:marLeft w:val="0"/>
          <w:marRight w:val="0"/>
          <w:marTop w:val="0"/>
          <w:marBottom w:val="0"/>
          <w:divBdr>
            <w:top w:val="none" w:sz="0" w:space="0" w:color="auto"/>
            <w:left w:val="none" w:sz="0" w:space="0" w:color="auto"/>
            <w:bottom w:val="none" w:sz="0" w:space="0" w:color="auto"/>
            <w:right w:val="none" w:sz="0" w:space="0" w:color="auto"/>
          </w:divBdr>
        </w:div>
      </w:divsChild>
    </w:div>
    <w:div w:id="501553684">
      <w:bodyDiv w:val="1"/>
      <w:marLeft w:val="0"/>
      <w:marRight w:val="0"/>
      <w:marTop w:val="0"/>
      <w:marBottom w:val="0"/>
      <w:divBdr>
        <w:top w:val="none" w:sz="0" w:space="0" w:color="auto"/>
        <w:left w:val="none" w:sz="0" w:space="0" w:color="auto"/>
        <w:bottom w:val="none" w:sz="0" w:space="0" w:color="auto"/>
        <w:right w:val="none" w:sz="0" w:space="0" w:color="auto"/>
      </w:divBdr>
    </w:div>
    <w:div w:id="510220186">
      <w:bodyDiv w:val="1"/>
      <w:marLeft w:val="0"/>
      <w:marRight w:val="0"/>
      <w:marTop w:val="0"/>
      <w:marBottom w:val="0"/>
      <w:divBdr>
        <w:top w:val="none" w:sz="0" w:space="0" w:color="auto"/>
        <w:left w:val="none" w:sz="0" w:space="0" w:color="auto"/>
        <w:bottom w:val="none" w:sz="0" w:space="0" w:color="auto"/>
        <w:right w:val="none" w:sz="0" w:space="0" w:color="auto"/>
      </w:divBdr>
    </w:div>
    <w:div w:id="512232374">
      <w:bodyDiv w:val="1"/>
      <w:marLeft w:val="0"/>
      <w:marRight w:val="0"/>
      <w:marTop w:val="0"/>
      <w:marBottom w:val="0"/>
      <w:divBdr>
        <w:top w:val="none" w:sz="0" w:space="0" w:color="auto"/>
        <w:left w:val="none" w:sz="0" w:space="0" w:color="auto"/>
        <w:bottom w:val="none" w:sz="0" w:space="0" w:color="auto"/>
        <w:right w:val="none" w:sz="0" w:space="0" w:color="auto"/>
      </w:divBdr>
    </w:div>
    <w:div w:id="542407008">
      <w:bodyDiv w:val="1"/>
      <w:marLeft w:val="0"/>
      <w:marRight w:val="0"/>
      <w:marTop w:val="0"/>
      <w:marBottom w:val="0"/>
      <w:divBdr>
        <w:top w:val="none" w:sz="0" w:space="0" w:color="auto"/>
        <w:left w:val="none" w:sz="0" w:space="0" w:color="auto"/>
        <w:bottom w:val="none" w:sz="0" w:space="0" w:color="auto"/>
        <w:right w:val="none" w:sz="0" w:space="0" w:color="auto"/>
      </w:divBdr>
    </w:div>
    <w:div w:id="543517128">
      <w:bodyDiv w:val="1"/>
      <w:marLeft w:val="0"/>
      <w:marRight w:val="0"/>
      <w:marTop w:val="0"/>
      <w:marBottom w:val="0"/>
      <w:divBdr>
        <w:top w:val="none" w:sz="0" w:space="0" w:color="auto"/>
        <w:left w:val="none" w:sz="0" w:space="0" w:color="auto"/>
        <w:bottom w:val="none" w:sz="0" w:space="0" w:color="auto"/>
        <w:right w:val="none" w:sz="0" w:space="0" w:color="auto"/>
      </w:divBdr>
    </w:div>
    <w:div w:id="586961040">
      <w:bodyDiv w:val="1"/>
      <w:marLeft w:val="0"/>
      <w:marRight w:val="0"/>
      <w:marTop w:val="0"/>
      <w:marBottom w:val="0"/>
      <w:divBdr>
        <w:top w:val="none" w:sz="0" w:space="0" w:color="auto"/>
        <w:left w:val="none" w:sz="0" w:space="0" w:color="auto"/>
        <w:bottom w:val="none" w:sz="0" w:space="0" w:color="auto"/>
        <w:right w:val="none" w:sz="0" w:space="0" w:color="auto"/>
      </w:divBdr>
    </w:div>
    <w:div w:id="609430596">
      <w:bodyDiv w:val="1"/>
      <w:marLeft w:val="0"/>
      <w:marRight w:val="0"/>
      <w:marTop w:val="0"/>
      <w:marBottom w:val="0"/>
      <w:divBdr>
        <w:top w:val="none" w:sz="0" w:space="0" w:color="auto"/>
        <w:left w:val="none" w:sz="0" w:space="0" w:color="auto"/>
        <w:bottom w:val="none" w:sz="0" w:space="0" w:color="auto"/>
        <w:right w:val="none" w:sz="0" w:space="0" w:color="auto"/>
      </w:divBdr>
    </w:div>
    <w:div w:id="661856471">
      <w:bodyDiv w:val="1"/>
      <w:marLeft w:val="0"/>
      <w:marRight w:val="0"/>
      <w:marTop w:val="0"/>
      <w:marBottom w:val="0"/>
      <w:divBdr>
        <w:top w:val="none" w:sz="0" w:space="0" w:color="auto"/>
        <w:left w:val="none" w:sz="0" w:space="0" w:color="auto"/>
        <w:bottom w:val="none" w:sz="0" w:space="0" w:color="auto"/>
        <w:right w:val="none" w:sz="0" w:space="0" w:color="auto"/>
      </w:divBdr>
    </w:div>
    <w:div w:id="678779794">
      <w:bodyDiv w:val="1"/>
      <w:marLeft w:val="0"/>
      <w:marRight w:val="0"/>
      <w:marTop w:val="0"/>
      <w:marBottom w:val="0"/>
      <w:divBdr>
        <w:top w:val="none" w:sz="0" w:space="0" w:color="auto"/>
        <w:left w:val="none" w:sz="0" w:space="0" w:color="auto"/>
        <w:bottom w:val="none" w:sz="0" w:space="0" w:color="auto"/>
        <w:right w:val="none" w:sz="0" w:space="0" w:color="auto"/>
      </w:divBdr>
    </w:div>
    <w:div w:id="719480804">
      <w:bodyDiv w:val="1"/>
      <w:marLeft w:val="0"/>
      <w:marRight w:val="0"/>
      <w:marTop w:val="0"/>
      <w:marBottom w:val="0"/>
      <w:divBdr>
        <w:top w:val="none" w:sz="0" w:space="0" w:color="auto"/>
        <w:left w:val="none" w:sz="0" w:space="0" w:color="auto"/>
        <w:bottom w:val="none" w:sz="0" w:space="0" w:color="auto"/>
        <w:right w:val="none" w:sz="0" w:space="0" w:color="auto"/>
      </w:divBdr>
      <w:divsChild>
        <w:div w:id="163861751">
          <w:marLeft w:val="0"/>
          <w:marRight w:val="0"/>
          <w:marTop w:val="0"/>
          <w:marBottom w:val="0"/>
          <w:divBdr>
            <w:top w:val="none" w:sz="0" w:space="0" w:color="auto"/>
            <w:left w:val="none" w:sz="0" w:space="0" w:color="auto"/>
            <w:bottom w:val="none" w:sz="0" w:space="0" w:color="auto"/>
            <w:right w:val="none" w:sz="0" w:space="0" w:color="auto"/>
          </w:divBdr>
          <w:divsChild>
            <w:div w:id="21241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19742">
      <w:bodyDiv w:val="1"/>
      <w:marLeft w:val="0"/>
      <w:marRight w:val="0"/>
      <w:marTop w:val="0"/>
      <w:marBottom w:val="0"/>
      <w:divBdr>
        <w:top w:val="none" w:sz="0" w:space="0" w:color="auto"/>
        <w:left w:val="none" w:sz="0" w:space="0" w:color="auto"/>
        <w:bottom w:val="none" w:sz="0" w:space="0" w:color="auto"/>
        <w:right w:val="none" w:sz="0" w:space="0" w:color="auto"/>
      </w:divBdr>
    </w:div>
    <w:div w:id="756442256">
      <w:bodyDiv w:val="1"/>
      <w:marLeft w:val="0"/>
      <w:marRight w:val="0"/>
      <w:marTop w:val="0"/>
      <w:marBottom w:val="0"/>
      <w:divBdr>
        <w:top w:val="none" w:sz="0" w:space="0" w:color="auto"/>
        <w:left w:val="none" w:sz="0" w:space="0" w:color="auto"/>
        <w:bottom w:val="none" w:sz="0" w:space="0" w:color="auto"/>
        <w:right w:val="none" w:sz="0" w:space="0" w:color="auto"/>
      </w:divBdr>
      <w:divsChild>
        <w:div w:id="446117399">
          <w:marLeft w:val="0"/>
          <w:marRight w:val="0"/>
          <w:marTop w:val="0"/>
          <w:marBottom w:val="0"/>
          <w:divBdr>
            <w:top w:val="none" w:sz="0" w:space="0" w:color="auto"/>
            <w:left w:val="none" w:sz="0" w:space="0" w:color="auto"/>
            <w:bottom w:val="none" w:sz="0" w:space="0" w:color="auto"/>
            <w:right w:val="none" w:sz="0" w:space="0" w:color="auto"/>
          </w:divBdr>
          <w:divsChild>
            <w:div w:id="19789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8195">
      <w:bodyDiv w:val="1"/>
      <w:marLeft w:val="0"/>
      <w:marRight w:val="0"/>
      <w:marTop w:val="0"/>
      <w:marBottom w:val="0"/>
      <w:divBdr>
        <w:top w:val="none" w:sz="0" w:space="0" w:color="auto"/>
        <w:left w:val="none" w:sz="0" w:space="0" w:color="auto"/>
        <w:bottom w:val="none" w:sz="0" w:space="0" w:color="auto"/>
        <w:right w:val="none" w:sz="0" w:space="0" w:color="auto"/>
      </w:divBdr>
    </w:div>
    <w:div w:id="777337116">
      <w:bodyDiv w:val="1"/>
      <w:marLeft w:val="0"/>
      <w:marRight w:val="0"/>
      <w:marTop w:val="0"/>
      <w:marBottom w:val="0"/>
      <w:divBdr>
        <w:top w:val="none" w:sz="0" w:space="0" w:color="auto"/>
        <w:left w:val="none" w:sz="0" w:space="0" w:color="auto"/>
        <w:bottom w:val="none" w:sz="0" w:space="0" w:color="auto"/>
        <w:right w:val="none" w:sz="0" w:space="0" w:color="auto"/>
      </w:divBdr>
    </w:div>
    <w:div w:id="791632860">
      <w:bodyDiv w:val="1"/>
      <w:marLeft w:val="0"/>
      <w:marRight w:val="0"/>
      <w:marTop w:val="0"/>
      <w:marBottom w:val="0"/>
      <w:divBdr>
        <w:top w:val="none" w:sz="0" w:space="0" w:color="auto"/>
        <w:left w:val="none" w:sz="0" w:space="0" w:color="auto"/>
        <w:bottom w:val="none" w:sz="0" w:space="0" w:color="auto"/>
        <w:right w:val="none" w:sz="0" w:space="0" w:color="auto"/>
      </w:divBdr>
    </w:div>
    <w:div w:id="800880756">
      <w:bodyDiv w:val="1"/>
      <w:marLeft w:val="0"/>
      <w:marRight w:val="0"/>
      <w:marTop w:val="0"/>
      <w:marBottom w:val="0"/>
      <w:divBdr>
        <w:top w:val="none" w:sz="0" w:space="0" w:color="auto"/>
        <w:left w:val="none" w:sz="0" w:space="0" w:color="auto"/>
        <w:bottom w:val="none" w:sz="0" w:space="0" w:color="auto"/>
        <w:right w:val="none" w:sz="0" w:space="0" w:color="auto"/>
      </w:divBdr>
      <w:divsChild>
        <w:div w:id="379062971">
          <w:marLeft w:val="0"/>
          <w:marRight w:val="0"/>
          <w:marTop w:val="0"/>
          <w:marBottom w:val="0"/>
          <w:divBdr>
            <w:top w:val="none" w:sz="0" w:space="0" w:color="auto"/>
            <w:left w:val="none" w:sz="0" w:space="0" w:color="auto"/>
            <w:bottom w:val="none" w:sz="0" w:space="0" w:color="auto"/>
            <w:right w:val="none" w:sz="0" w:space="0" w:color="auto"/>
          </w:divBdr>
          <w:divsChild>
            <w:div w:id="15694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5343">
      <w:bodyDiv w:val="1"/>
      <w:marLeft w:val="0"/>
      <w:marRight w:val="0"/>
      <w:marTop w:val="0"/>
      <w:marBottom w:val="0"/>
      <w:divBdr>
        <w:top w:val="none" w:sz="0" w:space="0" w:color="auto"/>
        <w:left w:val="none" w:sz="0" w:space="0" w:color="auto"/>
        <w:bottom w:val="none" w:sz="0" w:space="0" w:color="auto"/>
        <w:right w:val="none" w:sz="0" w:space="0" w:color="auto"/>
      </w:divBdr>
    </w:div>
    <w:div w:id="860363327">
      <w:bodyDiv w:val="1"/>
      <w:marLeft w:val="0"/>
      <w:marRight w:val="0"/>
      <w:marTop w:val="0"/>
      <w:marBottom w:val="0"/>
      <w:divBdr>
        <w:top w:val="none" w:sz="0" w:space="0" w:color="auto"/>
        <w:left w:val="none" w:sz="0" w:space="0" w:color="auto"/>
        <w:bottom w:val="none" w:sz="0" w:space="0" w:color="auto"/>
        <w:right w:val="none" w:sz="0" w:space="0" w:color="auto"/>
      </w:divBdr>
    </w:div>
    <w:div w:id="897669852">
      <w:bodyDiv w:val="1"/>
      <w:marLeft w:val="0"/>
      <w:marRight w:val="0"/>
      <w:marTop w:val="0"/>
      <w:marBottom w:val="0"/>
      <w:divBdr>
        <w:top w:val="none" w:sz="0" w:space="0" w:color="auto"/>
        <w:left w:val="none" w:sz="0" w:space="0" w:color="auto"/>
        <w:bottom w:val="none" w:sz="0" w:space="0" w:color="auto"/>
        <w:right w:val="none" w:sz="0" w:space="0" w:color="auto"/>
      </w:divBdr>
    </w:div>
    <w:div w:id="904534082">
      <w:bodyDiv w:val="1"/>
      <w:marLeft w:val="0"/>
      <w:marRight w:val="0"/>
      <w:marTop w:val="0"/>
      <w:marBottom w:val="0"/>
      <w:divBdr>
        <w:top w:val="none" w:sz="0" w:space="0" w:color="auto"/>
        <w:left w:val="none" w:sz="0" w:space="0" w:color="auto"/>
        <w:bottom w:val="none" w:sz="0" w:space="0" w:color="auto"/>
        <w:right w:val="none" w:sz="0" w:space="0" w:color="auto"/>
      </w:divBdr>
    </w:div>
    <w:div w:id="908883826">
      <w:bodyDiv w:val="1"/>
      <w:marLeft w:val="0"/>
      <w:marRight w:val="0"/>
      <w:marTop w:val="0"/>
      <w:marBottom w:val="0"/>
      <w:divBdr>
        <w:top w:val="none" w:sz="0" w:space="0" w:color="auto"/>
        <w:left w:val="none" w:sz="0" w:space="0" w:color="auto"/>
        <w:bottom w:val="none" w:sz="0" w:space="0" w:color="auto"/>
        <w:right w:val="none" w:sz="0" w:space="0" w:color="auto"/>
      </w:divBdr>
    </w:div>
    <w:div w:id="950016628">
      <w:bodyDiv w:val="1"/>
      <w:marLeft w:val="0"/>
      <w:marRight w:val="0"/>
      <w:marTop w:val="0"/>
      <w:marBottom w:val="0"/>
      <w:divBdr>
        <w:top w:val="none" w:sz="0" w:space="0" w:color="auto"/>
        <w:left w:val="none" w:sz="0" w:space="0" w:color="auto"/>
        <w:bottom w:val="none" w:sz="0" w:space="0" w:color="auto"/>
        <w:right w:val="none" w:sz="0" w:space="0" w:color="auto"/>
      </w:divBdr>
    </w:div>
    <w:div w:id="955141832">
      <w:bodyDiv w:val="1"/>
      <w:marLeft w:val="0"/>
      <w:marRight w:val="0"/>
      <w:marTop w:val="0"/>
      <w:marBottom w:val="0"/>
      <w:divBdr>
        <w:top w:val="none" w:sz="0" w:space="0" w:color="auto"/>
        <w:left w:val="none" w:sz="0" w:space="0" w:color="auto"/>
        <w:bottom w:val="none" w:sz="0" w:space="0" w:color="auto"/>
        <w:right w:val="none" w:sz="0" w:space="0" w:color="auto"/>
      </w:divBdr>
      <w:divsChild>
        <w:div w:id="1142384739">
          <w:marLeft w:val="0"/>
          <w:marRight w:val="0"/>
          <w:marTop w:val="0"/>
          <w:marBottom w:val="0"/>
          <w:divBdr>
            <w:top w:val="none" w:sz="0" w:space="0" w:color="auto"/>
            <w:left w:val="none" w:sz="0" w:space="0" w:color="auto"/>
            <w:bottom w:val="none" w:sz="0" w:space="0" w:color="auto"/>
            <w:right w:val="none" w:sz="0" w:space="0" w:color="auto"/>
          </w:divBdr>
          <w:divsChild>
            <w:div w:id="16383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4715">
      <w:bodyDiv w:val="1"/>
      <w:marLeft w:val="0"/>
      <w:marRight w:val="0"/>
      <w:marTop w:val="0"/>
      <w:marBottom w:val="0"/>
      <w:divBdr>
        <w:top w:val="none" w:sz="0" w:space="0" w:color="auto"/>
        <w:left w:val="none" w:sz="0" w:space="0" w:color="auto"/>
        <w:bottom w:val="none" w:sz="0" w:space="0" w:color="auto"/>
        <w:right w:val="none" w:sz="0" w:space="0" w:color="auto"/>
      </w:divBdr>
    </w:div>
    <w:div w:id="979532127">
      <w:bodyDiv w:val="1"/>
      <w:marLeft w:val="0"/>
      <w:marRight w:val="0"/>
      <w:marTop w:val="0"/>
      <w:marBottom w:val="0"/>
      <w:divBdr>
        <w:top w:val="none" w:sz="0" w:space="0" w:color="auto"/>
        <w:left w:val="none" w:sz="0" w:space="0" w:color="auto"/>
        <w:bottom w:val="none" w:sz="0" w:space="0" w:color="auto"/>
        <w:right w:val="none" w:sz="0" w:space="0" w:color="auto"/>
      </w:divBdr>
    </w:div>
    <w:div w:id="995181708">
      <w:bodyDiv w:val="1"/>
      <w:marLeft w:val="0"/>
      <w:marRight w:val="0"/>
      <w:marTop w:val="0"/>
      <w:marBottom w:val="0"/>
      <w:divBdr>
        <w:top w:val="none" w:sz="0" w:space="0" w:color="auto"/>
        <w:left w:val="none" w:sz="0" w:space="0" w:color="auto"/>
        <w:bottom w:val="none" w:sz="0" w:space="0" w:color="auto"/>
        <w:right w:val="none" w:sz="0" w:space="0" w:color="auto"/>
      </w:divBdr>
    </w:div>
    <w:div w:id="1001812139">
      <w:bodyDiv w:val="1"/>
      <w:marLeft w:val="0"/>
      <w:marRight w:val="0"/>
      <w:marTop w:val="0"/>
      <w:marBottom w:val="0"/>
      <w:divBdr>
        <w:top w:val="none" w:sz="0" w:space="0" w:color="auto"/>
        <w:left w:val="none" w:sz="0" w:space="0" w:color="auto"/>
        <w:bottom w:val="none" w:sz="0" w:space="0" w:color="auto"/>
        <w:right w:val="none" w:sz="0" w:space="0" w:color="auto"/>
      </w:divBdr>
      <w:divsChild>
        <w:div w:id="14892932">
          <w:marLeft w:val="0"/>
          <w:marRight w:val="0"/>
          <w:marTop w:val="0"/>
          <w:marBottom w:val="0"/>
          <w:divBdr>
            <w:top w:val="none" w:sz="0" w:space="0" w:color="auto"/>
            <w:left w:val="none" w:sz="0" w:space="0" w:color="auto"/>
            <w:bottom w:val="none" w:sz="0" w:space="0" w:color="auto"/>
            <w:right w:val="none" w:sz="0" w:space="0" w:color="auto"/>
          </w:divBdr>
          <w:divsChild>
            <w:div w:id="19057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6728">
      <w:bodyDiv w:val="1"/>
      <w:marLeft w:val="0"/>
      <w:marRight w:val="0"/>
      <w:marTop w:val="0"/>
      <w:marBottom w:val="0"/>
      <w:divBdr>
        <w:top w:val="none" w:sz="0" w:space="0" w:color="auto"/>
        <w:left w:val="none" w:sz="0" w:space="0" w:color="auto"/>
        <w:bottom w:val="none" w:sz="0" w:space="0" w:color="auto"/>
        <w:right w:val="none" w:sz="0" w:space="0" w:color="auto"/>
      </w:divBdr>
    </w:div>
    <w:div w:id="1022363861">
      <w:bodyDiv w:val="1"/>
      <w:marLeft w:val="0"/>
      <w:marRight w:val="0"/>
      <w:marTop w:val="0"/>
      <w:marBottom w:val="0"/>
      <w:divBdr>
        <w:top w:val="none" w:sz="0" w:space="0" w:color="auto"/>
        <w:left w:val="none" w:sz="0" w:space="0" w:color="auto"/>
        <w:bottom w:val="none" w:sz="0" w:space="0" w:color="auto"/>
        <w:right w:val="none" w:sz="0" w:space="0" w:color="auto"/>
      </w:divBdr>
    </w:div>
    <w:div w:id="1036663177">
      <w:bodyDiv w:val="1"/>
      <w:marLeft w:val="0"/>
      <w:marRight w:val="0"/>
      <w:marTop w:val="0"/>
      <w:marBottom w:val="0"/>
      <w:divBdr>
        <w:top w:val="none" w:sz="0" w:space="0" w:color="auto"/>
        <w:left w:val="none" w:sz="0" w:space="0" w:color="auto"/>
        <w:bottom w:val="none" w:sz="0" w:space="0" w:color="auto"/>
        <w:right w:val="none" w:sz="0" w:space="0" w:color="auto"/>
      </w:divBdr>
    </w:div>
    <w:div w:id="1044913158">
      <w:bodyDiv w:val="1"/>
      <w:marLeft w:val="0"/>
      <w:marRight w:val="0"/>
      <w:marTop w:val="0"/>
      <w:marBottom w:val="0"/>
      <w:divBdr>
        <w:top w:val="none" w:sz="0" w:space="0" w:color="auto"/>
        <w:left w:val="none" w:sz="0" w:space="0" w:color="auto"/>
        <w:bottom w:val="none" w:sz="0" w:space="0" w:color="auto"/>
        <w:right w:val="none" w:sz="0" w:space="0" w:color="auto"/>
      </w:divBdr>
    </w:div>
    <w:div w:id="1070493974">
      <w:bodyDiv w:val="1"/>
      <w:marLeft w:val="0"/>
      <w:marRight w:val="0"/>
      <w:marTop w:val="0"/>
      <w:marBottom w:val="0"/>
      <w:divBdr>
        <w:top w:val="none" w:sz="0" w:space="0" w:color="auto"/>
        <w:left w:val="none" w:sz="0" w:space="0" w:color="auto"/>
        <w:bottom w:val="none" w:sz="0" w:space="0" w:color="auto"/>
        <w:right w:val="none" w:sz="0" w:space="0" w:color="auto"/>
      </w:divBdr>
      <w:divsChild>
        <w:div w:id="1818719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073732">
      <w:bodyDiv w:val="1"/>
      <w:marLeft w:val="0"/>
      <w:marRight w:val="0"/>
      <w:marTop w:val="0"/>
      <w:marBottom w:val="0"/>
      <w:divBdr>
        <w:top w:val="none" w:sz="0" w:space="0" w:color="auto"/>
        <w:left w:val="none" w:sz="0" w:space="0" w:color="auto"/>
        <w:bottom w:val="none" w:sz="0" w:space="0" w:color="auto"/>
        <w:right w:val="none" w:sz="0" w:space="0" w:color="auto"/>
      </w:divBdr>
    </w:div>
    <w:div w:id="1094283518">
      <w:bodyDiv w:val="1"/>
      <w:marLeft w:val="0"/>
      <w:marRight w:val="0"/>
      <w:marTop w:val="0"/>
      <w:marBottom w:val="0"/>
      <w:divBdr>
        <w:top w:val="none" w:sz="0" w:space="0" w:color="auto"/>
        <w:left w:val="none" w:sz="0" w:space="0" w:color="auto"/>
        <w:bottom w:val="none" w:sz="0" w:space="0" w:color="auto"/>
        <w:right w:val="none" w:sz="0" w:space="0" w:color="auto"/>
      </w:divBdr>
    </w:div>
    <w:div w:id="1108236734">
      <w:bodyDiv w:val="1"/>
      <w:marLeft w:val="0"/>
      <w:marRight w:val="0"/>
      <w:marTop w:val="0"/>
      <w:marBottom w:val="0"/>
      <w:divBdr>
        <w:top w:val="none" w:sz="0" w:space="0" w:color="auto"/>
        <w:left w:val="none" w:sz="0" w:space="0" w:color="auto"/>
        <w:bottom w:val="none" w:sz="0" w:space="0" w:color="auto"/>
        <w:right w:val="none" w:sz="0" w:space="0" w:color="auto"/>
      </w:divBdr>
    </w:div>
    <w:div w:id="1132137764">
      <w:bodyDiv w:val="1"/>
      <w:marLeft w:val="0"/>
      <w:marRight w:val="0"/>
      <w:marTop w:val="0"/>
      <w:marBottom w:val="0"/>
      <w:divBdr>
        <w:top w:val="none" w:sz="0" w:space="0" w:color="auto"/>
        <w:left w:val="none" w:sz="0" w:space="0" w:color="auto"/>
        <w:bottom w:val="none" w:sz="0" w:space="0" w:color="auto"/>
        <w:right w:val="none" w:sz="0" w:space="0" w:color="auto"/>
      </w:divBdr>
      <w:divsChild>
        <w:div w:id="1791436247">
          <w:marLeft w:val="0"/>
          <w:marRight w:val="0"/>
          <w:marTop w:val="0"/>
          <w:marBottom w:val="0"/>
          <w:divBdr>
            <w:top w:val="none" w:sz="0" w:space="0" w:color="auto"/>
            <w:left w:val="none" w:sz="0" w:space="0" w:color="auto"/>
            <w:bottom w:val="none" w:sz="0" w:space="0" w:color="auto"/>
            <w:right w:val="none" w:sz="0" w:space="0" w:color="auto"/>
          </w:divBdr>
          <w:divsChild>
            <w:div w:id="20543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0263">
      <w:bodyDiv w:val="1"/>
      <w:marLeft w:val="0"/>
      <w:marRight w:val="0"/>
      <w:marTop w:val="0"/>
      <w:marBottom w:val="0"/>
      <w:divBdr>
        <w:top w:val="none" w:sz="0" w:space="0" w:color="auto"/>
        <w:left w:val="none" w:sz="0" w:space="0" w:color="auto"/>
        <w:bottom w:val="none" w:sz="0" w:space="0" w:color="auto"/>
        <w:right w:val="none" w:sz="0" w:space="0" w:color="auto"/>
      </w:divBdr>
    </w:div>
    <w:div w:id="1202942651">
      <w:bodyDiv w:val="1"/>
      <w:marLeft w:val="0"/>
      <w:marRight w:val="0"/>
      <w:marTop w:val="0"/>
      <w:marBottom w:val="0"/>
      <w:divBdr>
        <w:top w:val="none" w:sz="0" w:space="0" w:color="auto"/>
        <w:left w:val="none" w:sz="0" w:space="0" w:color="auto"/>
        <w:bottom w:val="none" w:sz="0" w:space="0" w:color="auto"/>
        <w:right w:val="none" w:sz="0" w:space="0" w:color="auto"/>
      </w:divBdr>
    </w:div>
    <w:div w:id="1272132578">
      <w:bodyDiv w:val="1"/>
      <w:marLeft w:val="0"/>
      <w:marRight w:val="0"/>
      <w:marTop w:val="0"/>
      <w:marBottom w:val="0"/>
      <w:divBdr>
        <w:top w:val="none" w:sz="0" w:space="0" w:color="auto"/>
        <w:left w:val="none" w:sz="0" w:space="0" w:color="auto"/>
        <w:bottom w:val="none" w:sz="0" w:space="0" w:color="auto"/>
        <w:right w:val="none" w:sz="0" w:space="0" w:color="auto"/>
      </w:divBdr>
    </w:div>
    <w:div w:id="1331568180">
      <w:bodyDiv w:val="1"/>
      <w:marLeft w:val="0"/>
      <w:marRight w:val="0"/>
      <w:marTop w:val="0"/>
      <w:marBottom w:val="0"/>
      <w:divBdr>
        <w:top w:val="none" w:sz="0" w:space="0" w:color="auto"/>
        <w:left w:val="none" w:sz="0" w:space="0" w:color="auto"/>
        <w:bottom w:val="none" w:sz="0" w:space="0" w:color="auto"/>
        <w:right w:val="none" w:sz="0" w:space="0" w:color="auto"/>
      </w:divBdr>
    </w:div>
    <w:div w:id="1363942405">
      <w:bodyDiv w:val="1"/>
      <w:marLeft w:val="0"/>
      <w:marRight w:val="0"/>
      <w:marTop w:val="0"/>
      <w:marBottom w:val="0"/>
      <w:divBdr>
        <w:top w:val="none" w:sz="0" w:space="0" w:color="auto"/>
        <w:left w:val="none" w:sz="0" w:space="0" w:color="auto"/>
        <w:bottom w:val="none" w:sz="0" w:space="0" w:color="auto"/>
        <w:right w:val="none" w:sz="0" w:space="0" w:color="auto"/>
      </w:divBdr>
    </w:div>
    <w:div w:id="1370911074">
      <w:bodyDiv w:val="1"/>
      <w:marLeft w:val="0"/>
      <w:marRight w:val="0"/>
      <w:marTop w:val="0"/>
      <w:marBottom w:val="0"/>
      <w:divBdr>
        <w:top w:val="none" w:sz="0" w:space="0" w:color="auto"/>
        <w:left w:val="none" w:sz="0" w:space="0" w:color="auto"/>
        <w:bottom w:val="none" w:sz="0" w:space="0" w:color="auto"/>
        <w:right w:val="none" w:sz="0" w:space="0" w:color="auto"/>
      </w:divBdr>
    </w:div>
    <w:div w:id="1377075182">
      <w:bodyDiv w:val="1"/>
      <w:marLeft w:val="0"/>
      <w:marRight w:val="0"/>
      <w:marTop w:val="0"/>
      <w:marBottom w:val="0"/>
      <w:divBdr>
        <w:top w:val="none" w:sz="0" w:space="0" w:color="auto"/>
        <w:left w:val="none" w:sz="0" w:space="0" w:color="auto"/>
        <w:bottom w:val="none" w:sz="0" w:space="0" w:color="auto"/>
        <w:right w:val="none" w:sz="0" w:space="0" w:color="auto"/>
      </w:divBdr>
    </w:div>
    <w:div w:id="1404529388">
      <w:bodyDiv w:val="1"/>
      <w:marLeft w:val="0"/>
      <w:marRight w:val="0"/>
      <w:marTop w:val="0"/>
      <w:marBottom w:val="0"/>
      <w:divBdr>
        <w:top w:val="none" w:sz="0" w:space="0" w:color="auto"/>
        <w:left w:val="none" w:sz="0" w:space="0" w:color="auto"/>
        <w:bottom w:val="none" w:sz="0" w:space="0" w:color="auto"/>
        <w:right w:val="none" w:sz="0" w:space="0" w:color="auto"/>
      </w:divBdr>
      <w:divsChild>
        <w:div w:id="1186292465">
          <w:marLeft w:val="0"/>
          <w:marRight w:val="0"/>
          <w:marTop w:val="0"/>
          <w:marBottom w:val="0"/>
          <w:divBdr>
            <w:top w:val="none" w:sz="0" w:space="0" w:color="auto"/>
            <w:left w:val="none" w:sz="0" w:space="0" w:color="auto"/>
            <w:bottom w:val="none" w:sz="0" w:space="0" w:color="auto"/>
            <w:right w:val="none" w:sz="0" w:space="0" w:color="auto"/>
          </w:divBdr>
          <w:divsChild>
            <w:div w:id="4296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2610">
      <w:bodyDiv w:val="1"/>
      <w:marLeft w:val="0"/>
      <w:marRight w:val="0"/>
      <w:marTop w:val="0"/>
      <w:marBottom w:val="0"/>
      <w:divBdr>
        <w:top w:val="none" w:sz="0" w:space="0" w:color="auto"/>
        <w:left w:val="none" w:sz="0" w:space="0" w:color="auto"/>
        <w:bottom w:val="none" w:sz="0" w:space="0" w:color="auto"/>
        <w:right w:val="none" w:sz="0" w:space="0" w:color="auto"/>
      </w:divBdr>
    </w:div>
    <w:div w:id="1460807002">
      <w:bodyDiv w:val="1"/>
      <w:marLeft w:val="0"/>
      <w:marRight w:val="0"/>
      <w:marTop w:val="0"/>
      <w:marBottom w:val="0"/>
      <w:divBdr>
        <w:top w:val="none" w:sz="0" w:space="0" w:color="auto"/>
        <w:left w:val="none" w:sz="0" w:space="0" w:color="auto"/>
        <w:bottom w:val="none" w:sz="0" w:space="0" w:color="auto"/>
        <w:right w:val="none" w:sz="0" w:space="0" w:color="auto"/>
      </w:divBdr>
    </w:div>
    <w:div w:id="1480072782">
      <w:bodyDiv w:val="1"/>
      <w:marLeft w:val="0"/>
      <w:marRight w:val="0"/>
      <w:marTop w:val="0"/>
      <w:marBottom w:val="0"/>
      <w:divBdr>
        <w:top w:val="none" w:sz="0" w:space="0" w:color="auto"/>
        <w:left w:val="none" w:sz="0" w:space="0" w:color="auto"/>
        <w:bottom w:val="none" w:sz="0" w:space="0" w:color="auto"/>
        <w:right w:val="none" w:sz="0" w:space="0" w:color="auto"/>
      </w:divBdr>
    </w:div>
    <w:div w:id="1508864027">
      <w:bodyDiv w:val="1"/>
      <w:marLeft w:val="0"/>
      <w:marRight w:val="0"/>
      <w:marTop w:val="0"/>
      <w:marBottom w:val="0"/>
      <w:divBdr>
        <w:top w:val="none" w:sz="0" w:space="0" w:color="auto"/>
        <w:left w:val="none" w:sz="0" w:space="0" w:color="auto"/>
        <w:bottom w:val="none" w:sz="0" w:space="0" w:color="auto"/>
        <w:right w:val="none" w:sz="0" w:space="0" w:color="auto"/>
      </w:divBdr>
    </w:div>
    <w:div w:id="1513496748">
      <w:bodyDiv w:val="1"/>
      <w:marLeft w:val="0"/>
      <w:marRight w:val="0"/>
      <w:marTop w:val="0"/>
      <w:marBottom w:val="0"/>
      <w:divBdr>
        <w:top w:val="none" w:sz="0" w:space="0" w:color="auto"/>
        <w:left w:val="none" w:sz="0" w:space="0" w:color="auto"/>
        <w:bottom w:val="none" w:sz="0" w:space="0" w:color="auto"/>
        <w:right w:val="none" w:sz="0" w:space="0" w:color="auto"/>
      </w:divBdr>
      <w:divsChild>
        <w:div w:id="121465181">
          <w:marLeft w:val="0"/>
          <w:marRight w:val="0"/>
          <w:marTop w:val="0"/>
          <w:marBottom w:val="0"/>
          <w:divBdr>
            <w:top w:val="none" w:sz="0" w:space="0" w:color="auto"/>
            <w:left w:val="none" w:sz="0" w:space="0" w:color="auto"/>
            <w:bottom w:val="none" w:sz="0" w:space="0" w:color="auto"/>
            <w:right w:val="none" w:sz="0" w:space="0" w:color="auto"/>
          </w:divBdr>
          <w:divsChild>
            <w:div w:id="1409771901">
              <w:marLeft w:val="0"/>
              <w:marRight w:val="0"/>
              <w:marTop w:val="0"/>
              <w:marBottom w:val="0"/>
              <w:divBdr>
                <w:top w:val="none" w:sz="0" w:space="0" w:color="auto"/>
                <w:left w:val="none" w:sz="0" w:space="0" w:color="auto"/>
                <w:bottom w:val="none" w:sz="0" w:space="0" w:color="auto"/>
                <w:right w:val="none" w:sz="0" w:space="0" w:color="auto"/>
              </w:divBdr>
            </w:div>
          </w:divsChild>
        </w:div>
        <w:div w:id="188418107">
          <w:marLeft w:val="0"/>
          <w:marRight w:val="0"/>
          <w:marTop w:val="0"/>
          <w:marBottom w:val="0"/>
          <w:divBdr>
            <w:top w:val="none" w:sz="0" w:space="0" w:color="auto"/>
            <w:left w:val="none" w:sz="0" w:space="0" w:color="auto"/>
            <w:bottom w:val="none" w:sz="0" w:space="0" w:color="auto"/>
            <w:right w:val="none" w:sz="0" w:space="0" w:color="auto"/>
          </w:divBdr>
          <w:divsChild>
            <w:div w:id="484588515">
              <w:marLeft w:val="0"/>
              <w:marRight w:val="0"/>
              <w:marTop w:val="0"/>
              <w:marBottom w:val="0"/>
              <w:divBdr>
                <w:top w:val="none" w:sz="0" w:space="0" w:color="auto"/>
                <w:left w:val="none" w:sz="0" w:space="0" w:color="auto"/>
                <w:bottom w:val="none" w:sz="0" w:space="0" w:color="auto"/>
                <w:right w:val="none" w:sz="0" w:space="0" w:color="auto"/>
              </w:divBdr>
            </w:div>
          </w:divsChild>
        </w:div>
        <w:div w:id="290016727">
          <w:marLeft w:val="0"/>
          <w:marRight w:val="0"/>
          <w:marTop w:val="0"/>
          <w:marBottom w:val="0"/>
          <w:divBdr>
            <w:top w:val="none" w:sz="0" w:space="0" w:color="auto"/>
            <w:left w:val="none" w:sz="0" w:space="0" w:color="auto"/>
            <w:bottom w:val="none" w:sz="0" w:space="0" w:color="auto"/>
            <w:right w:val="none" w:sz="0" w:space="0" w:color="auto"/>
          </w:divBdr>
          <w:divsChild>
            <w:div w:id="470825485">
              <w:marLeft w:val="0"/>
              <w:marRight w:val="0"/>
              <w:marTop w:val="0"/>
              <w:marBottom w:val="0"/>
              <w:divBdr>
                <w:top w:val="none" w:sz="0" w:space="0" w:color="auto"/>
                <w:left w:val="none" w:sz="0" w:space="0" w:color="auto"/>
                <w:bottom w:val="none" w:sz="0" w:space="0" w:color="auto"/>
                <w:right w:val="none" w:sz="0" w:space="0" w:color="auto"/>
              </w:divBdr>
            </w:div>
          </w:divsChild>
        </w:div>
        <w:div w:id="468673621">
          <w:marLeft w:val="0"/>
          <w:marRight w:val="0"/>
          <w:marTop w:val="0"/>
          <w:marBottom w:val="0"/>
          <w:divBdr>
            <w:top w:val="none" w:sz="0" w:space="0" w:color="auto"/>
            <w:left w:val="none" w:sz="0" w:space="0" w:color="auto"/>
            <w:bottom w:val="none" w:sz="0" w:space="0" w:color="auto"/>
            <w:right w:val="none" w:sz="0" w:space="0" w:color="auto"/>
          </w:divBdr>
          <w:divsChild>
            <w:div w:id="2126801548">
              <w:marLeft w:val="0"/>
              <w:marRight w:val="0"/>
              <w:marTop w:val="0"/>
              <w:marBottom w:val="0"/>
              <w:divBdr>
                <w:top w:val="none" w:sz="0" w:space="0" w:color="auto"/>
                <w:left w:val="none" w:sz="0" w:space="0" w:color="auto"/>
                <w:bottom w:val="none" w:sz="0" w:space="0" w:color="auto"/>
                <w:right w:val="none" w:sz="0" w:space="0" w:color="auto"/>
              </w:divBdr>
            </w:div>
          </w:divsChild>
        </w:div>
        <w:div w:id="1614052564">
          <w:marLeft w:val="0"/>
          <w:marRight w:val="0"/>
          <w:marTop w:val="0"/>
          <w:marBottom w:val="0"/>
          <w:divBdr>
            <w:top w:val="none" w:sz="0" w:space="0" w:color="auto"/>
            <w:left w:val="none" w:sz="0" w:space="0" w:color="auto"/>
            <w:bottom w:val="none" w:sz="0" w:space="0" w:color="auto"/>
            <w:right w:val="none" w:sz="0" w:space="0" w:color="auto"/>
          </w:divBdr>
          <w:divsChild>
            <w:div w:id="1401556402">
              <w:marLeft w:val="0"/>
              <w:marRight w:val="0"/>
              <w:marTop w:val="0"/>
              <w:marBottom w:val="0"/>
              <w:divBdr>
                <w:top w:val="none" w:sz="0" w:space="0" w:color="auto"/>
                <w:left w:val="none" w:sz="0" w:space="0" w:color="auto"/>
                <w:bottom w:val="none" w:sz="0" w:space="0" w:color="auto"/>
                <w:right w:val="none" w:sz="0" w:space="0" w:color="auto"/>
              </w:divBdr>
            </w:div>
          </w:divsChild>
        </w:div>
        <w:div w:id="623461997">
          <w:marLeft w:val="0"/>
          <w:marRight w:val="0"/>
          <w:marTop w:val="0"/>
          <w:marBottom w:val="0"/>
          <w:divBdr>
            <w:top w:val="none" w:sz="0" w:space="0" w:color="auto"/>
            <w:left w:val="none" w:sz="0" w:space="0" w:color="auto"/>
            <w:bottom w:val="none" w:sz="0" w:space="0" w:color="auto"/>
            <w:right w:val="none" w:sz="0" w:space="0" w:color="auto"/>
          </w:divBdr>
          <w:divsChild>
            <w:div w:id="5542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88802">
      <w:bodyDiv w:val="1"/>
      <w:marLeft w:val="0"/>
      <w:marRight w:val="0"/>
      <w:marTop w:val="0"/>
      <w:marBottom w:val="0"/>
      <w:divBdr>
        <w:top w:val="none" w:sz="0" w:space="0" w:color="auto"/>
        <w:left w:val="none" w:sz="0" w:space="0" w:color="auto"/>
        <w:bottom w:val="none" w:sz="0" w:space="0" w:color="auto"/>
        <w:right w:val="none" w:sz="0" w:space="0" w:color="auto"/>
      </w:divBdr>
    </w:div>
    <w:div w:id="1522813355">
      <w:bodyDiv w:val="1"/>
      <w:marLeft w:val="0"/>
      <w:marRight w:val="0"/>
      <w:marTop w:val="0"/>
      <w:marBottom w:val="0"/>
      <w:divBdr>
        <w:top w:val="none" w:sz="0" w:space="0" w:color="auto"/>
        <w:left w:val="none" w:sz="0" w:space="0" w:color="auto"/>
        <w:bottom w:val="none" w:sz="0" w:space="0" w:color="auto"/>
        <w:right w:val="none" w:sz="0" w:space="0" w:color="auto"/>
      </w:divBdr>
    </w:div>
    <w:div w:id="1524438950">
      <w:bodyDiv w:val="1"/>
      <w:marLeft w:val="0"/>
      <w:marRight w:val="0"/>
      <w:marTop w:val="0"/>
      <w:marBottom w:val="0"/>
      <w:divBdr>
        <w:top w:val="none" w:sz="0" w:space="0" w:color="auto"/>
        <w:left w:val="none" w:sz="0" w:space="0" w:color="auto"/>
        <w:bottom w:val="none" w:sz="0" w:space="0" w:color="auto"/>
        <w:right w:val="none" w:sz="0" w:space="0" w:color="auto"/>
      </w:divBdr>
    </w:div>
    <w:div w:id="1527131904">
      <w:bodyDiv w:val="1"/>
      <w:marLeft w:val="0"/>
      <w:marRight w:val="0"/>
      <w:marTop w:val="0"/>
      <w:marBottom w:val="0"/>
      <w:divBdr>
        <w:top w:val="none" w:sz="0" w:space="0" w:color="auto"/>
        <w:left w:val="none" w:sz="0" w:space="0" w:color="auto"/>
        <w:bottom w:val="none" w:sz="0" w:space="0" w:color="auto"/>
        <w:right w:val="none" w:sz="0" w:space="0" w:color="auto"/>
      </w:divBdr>
    </w:div>
    <w:div w:id="1566835221">
      <w:bodyDiv w:val="1"/>
      <w:marLeft w:val="0"/>
      <w:marRight w:val="0"/>
      <w:marTop w:val="0"/>
      <w:marBottom w:val="0"/>
      <w:divBdr>
        <w:top w:val="none" w:sz="0" w:space="0" w:color="auto"/>
        <w:left w:val="none" w:sz="0" w:space="0" w:color="auto"/>
        <w:bottom w:val="none" w:sz="0" w:space="0" w:color="auto"/>
        <w:right w:val="none" w:sz="0" w:space="0" w:color="auto"/>
      </w:divBdr>
    </w:div>
    <w:div w:id="1595212075">
      <w:bodyDiv w:val="1"/>
      <w:marLeft w:val="0"/>
      <w:marRight w:val="0"/>
      <w:marTop w:val="0"/>
      <w:marBottom w:val="0"/>
      <w:divBdr>
        <w:top w:val="none" w:sz="0" w:space="0" w:color="auto"/>
        <w:left w:val="none" w:sz="0" w:space="0" w:color="auto"/>
        <w:bottom w:val="none" w:sz="0" w:space="0" w:color="auto"/>
        <w:right w:val="none" w:sz="0" w:space="0" w:color="auto"/>
      </w:divBdr>
    </w:div>
    <w:div w:id="1604147906">
      <w:bodyDiv w:val="1"/>
      <w:marLeft w:val="0"/>
      <w:marRight w:val="0"/>
      <w:marTop w:val="0"/>
      <w:marBottom w:val="0"/>
      <w:divBdr>
        <w:top w:val="none" w:sz="0" w:space="0" w:color="auto"/>
        <w:left w:val="none" w:sz="0" w:space="0" w:color="auto"/>
        <w:bottom w:val="none" w:sz="0" w:space="0" w:color="auto"/>
        <w:right w:val="none" w:sz="0" w:space="0" w:color="auto"/>
      </w:divBdr>
      <w:divsChild>
        <w:div w:id="1800998645">
          <w:marLeft w:val="0"/>
          <w:marRight w:val="0"/>
          <w:marTop w:val="0"/>
          <w:marBottom w:val="0"/>
          <w:divBdr>
            <w:top w:val="none" w:sz="0" w:space="0" w:color="auto"/>
            <w:left w:val="none" w:sz="0" w:space="0" w:color="auto"/>
            <w:bottom w:val="none" w:sz="0" w:space="0" w:color="auto"/>
            <w:right w:val="none" w:sz="0" w:space="0" w:color="auto"/>
          </w:divBdr>
          <w:divsChild>
            <w:div w:id="17054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4927">
      <w:bodyDiv w:val="1"/>
      <w:marLeft w:val="0"/>
      <w:marRight w:val="0"/>
      <w:marTop w:val="0"/>
      <w:marBottom w:val="0"/>
      <w:divBdr>
        <w:top w:val="none" w:sz="0" w:space="0" w:color="auto"/>
        <w:left w:val="none" w:sz="0" w:space="0" w:color="auto"/>
        <w:bottom w:val="none" w:sz="0" w:space="0" w:color="auto"/>
        <w:right w:val="none" w:sz="0" w:space="0" w:color="auto"/>
      </w:divBdr>
      <w:divsChild>
        <w:div w:id="1990862706">
          <w:marLeft w:val="0"/>
          <w:marRight w:val="0"/>
          <w:marTop w:val="0"/>
          <w:marBottom w:val="0"/>
          <w:divBdr>
            <w:top w:val="none" w:sz="0" w:space="0" w:color="auto"/>
            <w:left w:val="none" w:sz="0" w:space="0" w:color="auto"/>
            <w:bottom w:val="none" w:sz="0" w:space="0" w:color="auto"/>
            <w:right w:val="none" w:sz="0" w:space="0" w:color="auto"/>
          </w:divBdr>
          <w:divsChild>
            <w:div w:id="18995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6632">
      <w:bodyDiv w:val="1"/>
      <w:marLeft w:val="0"/>
      <w:marRight w:val="0"/>
      <w:marTop w:val="0"/>
      <w:marBottom w:val="0"/>
      <w:divBdr>
        <w:top w:val="none" w:sz="0" w:space="0" w:color="auto"/>
        <w:left w:val="none" w:sz="0" w:space="0" w:color="auto"/>
        <w:bottom w:val="none" w:sz="0" w:space="0" w:color="auto"/>
        <w:right w:val="none" w:sz="0" w:space="0" w:color="auto"/>
      </w:divBdr>
      <w:divsChild>
        <w:div w:id="313683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130226">
          <w:blockQuote w:val="1"/>
          <w:marLeft w:val="720"/>
          <w:marRight w:val="720"/>
          <w:marTop w:val="100"/>
          <w:marBottom w:val="100"/>
          <w:divBdr>
            <w:top w:val="none" w:sz="0" w:space="0" w:color="auto"/>
            <w:left w:val="none" w:sz="0" w:space="0" w:color="auto"/>
            <w:bottom w:val="none" w:sz="0" w:space="0" w:color="auto"/>
            <w:right w:val="none" w:sz="0" w:space="0" w:color="auto"/>
          </w:divBdr>
        </w:div>
        <w:div w:id="28497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3130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551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384579">
      <w:bodyDiv w:val="1"/>
      <w:marLeft w:val="0"/>
      <w:marRight w:val="0"/>
      <w:marTop w:val="0"/>
      <w:marBottom w:val="0"/>
      <w:divBdr>
        <w:top w:val="none" w:sz="0" w:space="0" w:color="auto"/>
        <w:left w:val="none" w:sz="0" w:space="0" w:color="auto"/>
        <w:bottom w:val="none" w:sz="0" w:space="0" w:color="auto"/>
        <w:right w:val="none" w:sz="0" w:space="0" w:color="auto"/>
      </w:divBdr>
    </w:div>
    <w:div w:id="1626354023">
      <w:bodyDiv w:val="1"/>
      <w:marLeft w:val="0"/>
      <w:marRight w:val="0"/>
      <w:marTop w:val="0"/>
      <w:marBottom w:val="0"/>
      <w:divBdr>
        <w:top w:val="none" w:sz="0" w:space="0" w:color="auto"/>
        <w:left w:val="none" w:sz="0" w:space="0" w:color="auto"/>
        <w:bottom w:val="none" w:sz="0" w:space="0" w:color="auto"/>
        <w:right w:val="none" w:sz="0" w:space="0" w:color="auto"/>
      </w:divBdr>
    </w:div>
    <w:div w:id="1647083043">
      <w:bodyDiv w:val="1"/>
      <w:marLeft w:val="0"/>
      <w:marRight w:val="0"/>
      <w:marTop w:val="0"/>
      <w:marBottom w:val="0"/>
      <w:divBdr>
        <w:top w:val="none" w:sz="0" w:space="0" w:color="auto"/>
        <w:left w:val="none" w:sz="0" w:space="0" w:color="auto"/>
        <w:bottom w:val="none" w:sz="0" w:space="0" w:color="auto"/>
        <w:right w:val="none" w:sz="0" w:space="0" w:color="auto"/>
      </w:divBdr>
    </w:div>
    <w:div w:id="1661499050">
      <w:bodyDiv w:val="1"/>
      <w:marLeft w:val="0"/>
      <w:marRight w:val="0"/>
      <w:marTop w:val="0"/>
      <w:marBottom w:val="0"/>
      <w:divBdr>
        <w:top w:val="none" w:sz="0" w:space="0" w:color="auto"/>
        <w:left w:val="none" w:sz="0" w:space="0" w:color="auto"/>
        <w:bottom w:val="none" w:sz="0" w:space="0" w:color="auto"/>
        <w:right w:val="none" w:sz="0" w:space="0" w:color="auto"/>
      </w:divBdr>
    </w:div>
    <w:div w:id="1721898381">
      <w:bodyDiv w:val="1"/>
      <w:marLeft w:val="0"/>
      <w:marRight w:val="0"/>
      <w:marTop w:val="0"/>
      <w:marBottom w:val="0"/>
      <w:divBdr>
        <w:top w:val="none" w:sz="0" w:space="0" w:color="auto"/>
        <w:left w:val="none" w:sz="0" w:space="0" w:color="auto"/>
        <w:bottom w:val="none" w:sz="0" w:space="0" w:color="auto"/>
        <w:right w:val="none" w:sz="0" w:space="0" w:color="auto"/>
      </w:divBdr>
    </w:div>
    <w:div w:id="1742411862">
      <w:bodyDiv w:val="1"/>
      <w:marLeft w:val="0"/>
      <w:marRight w:val="0"/>
      <w:marTop w:val="0"/>
      <w:marBottom w:val="0"/>
      <w:divBdr>
        <w:top w:val="none" w:sz="0" w:space="0" w:color="auto"/>
        <w:left w:val="none" w:sz="0" w:space="0" w:color="auto"/>
        <w:bottom w:val="none" w:sz="0" w:space="0" w:color="auto"/>
        <w:right w:val="none" w:sz="0" w:space="0" w:color="auto"/>
      </w:divBdr>
    </w:div>
    <w:div w:id="1761414521">
      <w:bodyDiv w:val="1"/>
      <w:marLeft w:val="0"/>
      <w:marRight w:val="0"/>
      <w:marTop w:val="0"/>
      <w:marBottom w:val="0"/>
      <w:divBdr>
        <w:top w:val="none" w:sz="0" w:space="0" w:color="auto"/>
        <w:left w:val="none" w:sz="0" w:space="0" w:color="auto"/>
        <w:bottom w:val="none" w:sz="0" w:space="0" w:color="auto"/>
        <w:right w:val="none" w:sz="0" w:space="0" w:color="auto"/>
      </w:divBdr>
      <w:divsChild>
        <w:div w:id="673071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79560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57409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170392">
          <w:blockQuote w:val="1"/>
          <w:marLeft w:val="720"/>
          <w:marRight w:val="720"/>
          <w:marTop w:val="100"/>
          <w:marBottom w:val="100"/>
          <w:divBdr>
            <w:top w:val="none" w:sz="0" w:space="0" w:color="auto"/>
            <w:left w:val="none" w:sz="0" w:space="0" w:color="auto"/>
            <w:bottom w:val="none" w:sz="0" w:space="0" w:color="auto"/>
            <w:right w:val="none" w:sz="0" w:space="0" w:color="auto"/>
          </w:divBdr>
        </w:div>
        <w:div w:id="811412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1154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925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9798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8431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96797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5469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21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73678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61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35154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452360">
          <w:blockQuote w:val="1"/>
          <w:marLeft w:val="720"/>
          <w:marRight w:val="720"/>
          <w:marTop w:val="100"/>
          <w:marBottom w:val="100"/>
          <w:divBdr>
            <w:top w:val="none" w:sz="0" w:space="0" w:color="auto"/>
            <w:left w:val="none" w:sz="0" w:space="0" w:color="auto"/>
            <w:bottom w:val="none" w:sz="0" w:space="0" w:color="auto"/>
            <w:right w:val="none" w:sz="0" w:space="0" w:color="auto"/>
          </w:divBdr>
        </w:div>
        <w:div w:id="95562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824389">
      <w:bodyDiv w:val="1"/>
      <w:marLeft w:val="0"/>
      <w:marRight w:val="0"/>
      <w:marTop w:val="0"/>
      <w:marBottom w:val="0"/>
      <w:divBdr>
        <w:top w:val="none" w:sz="0" w:space="0" w:color="auto"/>
        <w:left w:val="none" w:sz="0" w:space="0" w:color="auto"/>
        <w:bottom w:val="none" w:sz="0" w:space="0" w:color="auto"/>
        <w:right w:val="none" w:sz="0" w:space="0" w:color="auto"/>
      </w:divBdr>
    </w:div>
    <w:div w:id="1812211460">
      <w:bodyDiv w:val="1"/>
      <w:marLeft w:val="0"/>
      <w:marRight w:val="0"/>
      <w:marTop w:val="0"/>
      <w:marBottom w:val="0"/>
      <w:divBdr>
        <w:top w:val="none" w:sz="0" w:space="0" w:color="auto"/>
        <w:left w:val="none" w:sz="0" w:space="0" w:color="auto"/>
        <w:bottom w:val="none" w:sz="0" w:space="0" w:color="auto"/>
        <w:right w:val="none" w:sz="0" w:space="0" w:color="auto"/>
      </w:divBdr>
    </w:div>
    <w:div w:id="1823618322">
      <w:bodyDiv w:val="1"/>
      <w:marLeft w:val="0"/>
      <w:marRight w:val="0"/>
      <w:marTop w:val="0"/>
      <w:marBottom w:val="0"/>
      <w:divBdr>
        <w:top w:val="none" w:sz="0" w:space="0" w:color="auto"/>
        <w:left w:val="none" w:sz="0" w:space="0" w:color="auto"/>
        <w:bottom w:val="none" w:sz="0" w:space="0" w:color="auto"/>
        <w:right w:val="none" w:sz="0" w:space="0" w:color="auto"/>
      </w:divBdr>
    </w:div>
    <w:div w:id="1837842846">
      <w:bodyDiv w:val="1"/>
      <w:marLeft w:val="0"/>
      <w:marRight w:val="0"/>
      <w:marTop w:val="0"/>
      <w:marBottom w:val="0"/>
      <w:divBdr>
        <w:top w:val="none" w:sz="0" w:space="0" w:color="auto"/>
        <w:left w:val="none" w:sz="0" w:space="0" w:color="auto"/>
        <w:bottom w:val="none" w:sz="0" w:space="0" w:color="auto"/>
        <w:right w:val="none" w:sz="0" w:space="0" w:color="auto"/>
      </w:divBdr>
    </w:div>
    <w:div w:id="1840390723">
      <w:bodyDiv w:val="1"/>
      <w:marLeft w:val="0"/>
      <w:marRight w:val="0"/>
      <w:marTop w:val="0"/>
      <w:marBottom w:val="0"/>
      <w:divBdr>
        <w:top w:val="none" w:sz="0" w:space="0" w:color="auto"/>
        <w:left w:val="none" w:sz="0" w:space="0" w:color="auto"/>
        <w:bottom w:val="none" w:sz="0" w:space="0" w:color="auto"/>
        <w:right w:val="none" w:sz="0" w:space="0" w:color="auto"/>
      </w:divBdr>
    </w:div>
    <w:div w:id="1841039668">
      <w:bodyDiv w:val="1"/>
      <w:marLeft w:val="0"/>
      <w:marRight w:val="0"/>
      <w:marTop w:val="0"/>
      <w:marBottom w:val="0"/>
      <w:divBdr>
        <w:top w:val="none" w:sz="0" w:space="0" w:color="auto"/>
        <w:left w:val="none" w:sz="0" w:space="0" w:color="auto"/>
        <w:bottom w:val="none" w:sz="0" w:space="0" w:color="auto"/>
        <w:right w:val="none" w:sz="0" w:space="0" w:color="auto"/>
      </w:divBdr>
    </w:div>
    <w:div w:id="1873155361">
      <w:bodyDiv w:val="1"/>
      <w:marLeft w:val="0"/>
      <w:marRight w:val="0"/>
      <w:marTop w:val="0"/>
      <w:marBottom w:val="0"/>
      <w:divBdr>
        <w:top w:val="none" w:sz="0" w:space="0" w:color="auto"/>
        <w:left w:val="none" w:sz="0" w:space="0" w:color="auto"/>
        <w:bottom w:val="none" w:sz="0" w:space="0" w:color="auto"/>
        <w:right w:val="none" w:sz="0" w:space="0" w:color="auto"/>
      </w:divBdr>
      <w:divsChild>
        <w:div w:id="573390744">
          <w:marLeft w:val="0"/>
          <w:marRight w:val="0"/>
          <w:marTop w:val="0"/>
          <w:marBottom w:val="0"/>
          <w:divBdr>
            <w:top w:val="none" w:sz="0" w:space="0" w:color="auto"/>
            <w:left w:val="none" w:sz="0" w:space="0" w:color="auto"/>
            <w:bottom w:val="none" w:sz="0" w:space="0" w:color="auto"/>
            <w:right w:val="none" w:sz="0" w:space="0" w:color="auto"/>
          </w:divBdr>
          <w:divsChild>
            <w:div w:id="1298100723">
              <w:marLeft w:val="0"/>
              <w:marRight w:val="0"/>
              <w:marTop w:val="0"/>
              <w:marBottom w:val="0"/>
              <w:divBdr>
                <w:top w:val="none" w:sz="0" w:space="0" w:color="auto"/>
                <w:left w:val="none" w:sz="0" w:space="0" w:color="auto"/>
                <w:bottom w:val="none" w:sz="0" w:space="0" w:color="auto"/>
                <w:right w:val="none" w:sz="0" w:space="0" w:color="auto"/>
              </w:divBdr>
            </w:div>
          </w:divsChild>
        </w:div>
        <w:div w:id="998922356">
          <w:marLeft w:val="0"/>
          <w:marRight w:val="0"/>
          <w:marTop w:val="0"/>
          <w:marBottom w:val="0"/>
          <w:divBdr>
            <w:top w:val="none" w:sz="0" w:space="0" w:color="auto"/>
            <w:left w:val="none" w:sz="0" w:space="0" w:color="auto"/>
            <w:bottom w:val="none" w:sz="0" w:space="0" w:color="auto"/>
            <w:right w:val="none" w:sz="0" w:space="0" w:color="auto"/>
          </w:divBdr>
          <w:divsChild>
            <w:div w:id="1316641022">
              <w:marLeft w:val="0"/>
              <w:marRight w:val="0"/>
              <w:marTop w:val="0"/>
              <w:marBottom w:val="0"/>
              <w:divBdr>
                <w:top w:val="none" w:sz="0" w:space="0" w:color="auto"/>
                <w:left w:val="none" w:sz="0" w:space="0" w:color="auto"/>
                <w:bottom w:val="none" w:sz="0" w:space="0" w:color="auto"/>
                <w:right w:val="none" w:sz="0" w:space="0" w:color="auto"/>
              </w:divBdr>
            </w:div>
          </w:divsChild>
        </w:div>
        <w:div w:id="1435902913">
          <w:marLeft w:val="0"/>
          <w:marRight w:val="0"/>
          <w:marTop w:val="0"/>
          <w:marBottom w:val="0"/>
          <w:divBdr>
            <w:top w:val="none" w:sz="0" w:space="0" w:color="auto"/>
            <w:left w:val="none" w:sz="0" w:space="0" w:color="auto"/>
            <w:bottom w:val="none" w:sz="0" w:space="0" w:color="auto"/>
            <w:right w:val="none" w:sz="0" w:space="0" w:color="auto"/>
          </w:divBdr>
          <w:divsChild>
            <w:div w:id="1685522148">
              <w:marLeft w:val="0"/>
              <w:marRight w:val="0"/>
              <w:marTop w:val="0"/>
              <w:marBottom w:val="0"/>
              <w:divBdr>
                <w:top w:val="none" w:sz="0" w:space="0" w:color="auto"/>
                <w:left w:val="none" w:sz="0" w:space="0" w:color="auto"/>
                <w:bottom w:val="none" w:sz="0" w:space="0" w:color="auto"/>
                <w:right w:val="none" w:sz="0" w:space="0" w:color="auto"/>
              </w:divBdr>
            </w:div>
          </w:divsChild>
        </w:div>
        <w:div w:id="1737168223">
          <w:marLeft w:val="0"/>
          <w:marRight w:val="0"/>
          <w:marTop w:val="0"/>
          <w:marBottom w:val="0"/>
          <w:divBdr>
            <w:top w:val="none" w:sz="0" w:space="0" w:color="auto"/>
            <w:left w:val="none" w:sz="0" w:space="0" w:color="auto"/>
            <w:bottom w:val="none" w:sz="0" w:space="0" w:color="auto"/>
            <w:right w:val="none" w:sz="0" w:space="0" w:color="auto"/>
          </w:divBdr>
          <w:divsChild>
            <w:div w:id="2105878750">
              <w:marLeft w:val="0"/>
              <w:marRight w:val="0"/>
              <w:marTop w:val="0"/>
              <w:marBottom w:val="0"/>
              <w:divBdr>
                <w:top w:val="none" w:sz="0" w:space="0" w:color="auto"/>
                <w:left w:val="none" w:sz="0" w:space="0" w:color="auto"/>
                <w:bottom w:val="none" w:sz="0" w:space="0" w:color="auto"/>
                <w:right w:val="none" w:sz="0" w:space="0" w:color="auto"/>
              </w:divBdr>
            </w:div>
          </w:divsChild>
        </w:div>
        <w:div w:id="1595362699">
          <w:marLeft w:val="0"/>
          <w:marRight w:val="0"/>
          <w:marTop w:val="0"/>
          <w:marBottom w:val="0"/>
          <w:divBdr>
            <w:top w:val="none" w:sz="0" w:space="0" w:color="auto"/>
            <w:left w:val="none" w:sz="0" w:space="0" w:color="auto"/>
            <w:bottom w:val="none" w:sz="0" w:space="0" w:color="auto"/>
            <w:right w:val="none" w:sz="0" w:space="0" w:color="auto"/>
          </w:divBdr>
          <w:divsChild>
            <w:div w:id="508644106">
              <w:marLeft w:val="0"/>
              <w:marRight w:val="0"/>
              <w:marTop w:val="0"/>
              <w:marBottom w:val="0"/>
              <w:divBdr>
                <w:top w:val="none" w:sz="0" w:space="0" w:color="auto"/>
                <w:left w:val="none" w:sz="0" w:space="0" w:color="auto"/>
                <w:bottom w:val="none" w:sz="0" w:space="0" w:color="auto"/>
                <w:right w:val="none" w:sz="0" w:space="0" w:color="auto"/>
              </w:divBdr>
            </w:div>
          </w:divsChild>
        </w:div>
        <w:div w:id="1355425714">
          <w:marLeft w:val="0"/>
          <w:marRight w:val="0"/>
          <w:marTop w:val="0"/>
          <w:marBottom w:val="0"/>
          <w:divBdr>
            <w:top w:val="none" w:sz="0" w:space="0" w:color="auto"/>
            <w:left w:val="none" w:sz="0" w:space="0" w:color="auto"/>
            <w:bottom w:val="none" w:sz="0" w:space="0" w:color="auto"/>
            <w:right w:val="none" w:sz="0" w:space="0" w:color="auto"/>
          </w:divBdr>
          <w:divsChild>
            <w:div w:id="4602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3818">
      <w:bodyDiv w:val="1"/>
      <w:marLeft w:val="0"/>
      <w:marRight w:val="0"/>
      <w:marTop w:val="0"/>
      <w:marBottom w:val="0"/>
      <w:divBdr>
        <w:top w:val="none" w:sz="0" w:space="0" w:color="auto"/>
        <w:left w:val="none" w:sz="0" w:space="0" w:color="auto"/>
        <w:bottom w:val="none" w:sz="0" w:space="0" w:color="auto"/>
        <w:right w:val="none" w:sz="0" w:space="0" w:color="auto"/>
      </w:divBdr>
    </w:div>
    <w:div w:id="1954357354">
      <w:bodyDiv w:val="1"/>
      <w:marLeft w:val="0"/>
      <w:marRight w:val="0"/>
      <w:marTop w:val="0"/>
      <w:marBottom w:val="0"/>
      <w:divBdr>
        <w:top w:val="none" w:sz="0" w:space="0" w:color="auto"/>
        <w:left w:val="none" w:sz="0" w:space="0" w:color="auto"/>
        <w:bottom w:val="none" w:sz="0" w:space="0" w:color="auto"/>
        <w:right w:val="none" w:sz="0" w:space="0" w:color="auto"/>
      </w:divBdr>
    </w:div>
    <w:div w:id="1967008226">
      <w:bodyDiv w:val="1"/>
      <w:marLeft w:val="0"/>
      <w:marRight w:val="0"/>
      <w:marTop w:val="0"/>
      <w:marBottom w:val="0"/>
      <w:divBdr>
        <w:top w:val="none" w:sz="0" w:space="0" w:color="auto"/>
        <w:left w:val="none" w:sz="0" w:space="0" w:color="auto"/>
        <w:bottom w:val="none" w:sz="0" w:space="0" w:color="auto"/>
        <w:right w:val="none" w:sz="0" w:space="0" w:color="auto"/>
      </w:divBdr>
    </w:div>
    <w:div w:id="1995330771">
      <w:bodyDiv w:val="1"/>
      <w:marLeft w:val="0"/>
      <w:marRight w:val="0"/>
      <w:marTop w:val="0"/>
      <w:marBottom w:val="0"/>
      <w:divBdr>
        <w:top w:val="none" w:sz="0" w:space="0" w:color="auto"/>
        <w:left w:val="none" w:sz="0" w:space="0" w:color="auto"/>
        <w:bottom w:val="none" w:sz="0" w:space="0" w:color="auto"/>
        <w:right w:val="none" w:sz="0" w:space="0" w:color="auto"/>
      </w:divBdr>
    </w:div>
    <w:div w:id="2049254745">
      <w:bodyDiv w:val="1"/>
      <w:marLeft w:val="0"/>
      <w:marRight w:val="0"/>
      <w:marTop w:val="0"/>
      <w:marBottom w:val="0"/>
      <w:divBdr>
        <w:top w:val="none" w:sz="0" w:space="0" w:color="auto"/>
        <w:left w:val="none" w:sz="0" w:space="0" w:color="auto"/>
        <w:bottom w:val="none" w:sz="0" w:space="0" w:color="auto"/>
        <w:right w:val="none" w:sz="0" w:space="0" w:color="auto"/>
      </w:divBdr>
    </w:div>
    <w:div w:id="2054693891">
      <w:bodyDiv w:val="1"/>
      <w:marLeft w:val="0"/>
      <w:marRight w:val="0"/>
      <w:marTop w:val="0"/>
      <w:marBottom w:val="0"/>
      <w:divBdr>
        <w:top w:val="none" w:sz="0" w:space="0" w:color="auto"/>
        <w:left w:val="none" w:sz="0" w:space="0" w:color="auto"/>
        <w:bottom w:val="none" w:sz="0" w:space="0" w:color="auto"/>
        <w:right w:val="none" w:sz="0" w:space="0" w:color="auto"/>
      </w:divBdr>
    </w:div>
    <w:div w:id="2080517047">
      <w:bodyDiv w:val="1"/>
      <w:marLeft w:val="0"/>
      <w:marRight w:val="0"/>
      <w:marTop w:val="0"/>
      <w:marBottom w:val="0"/>
      <w:divBdr>
        <w:top w:val="none" w:sz="0" w:space="0" w:color="auto"/>
        <w:left w:val="none" w:sz="0" w:space="0" w:color="auto"/>
        <w:bottom w:val="none" w:sz="0" w:space="0" w:color="auto"/>
        <w:right w:val="none" w:sz="0" w:space="0" w:color="auto"/>
      </w:divBdr>
    </w:div>
    <w:div w:id="2130319489">
      <w:bodyDiv w:val="1"/>
      <w:marLeft w:val="0"/>
      <w:marRight w:val="0"/>
      <w:marTop w:val="0"/>
      <w:marBottom w:val="0"/>
      <w:divBdr>
        <w:top w:val="none" w:sz="0" w:space="0" w:color="auto"/>
        <w:left w:val="none" w:sz="0" w:space="0" w:color="auto"/>
        <w:bottom w:val="none" w:sz="0" w:space="0" w:color="auto"/>
        <w:right w:val="none" w:sz="0" w:space="0" w:color="auto"/>
      </w:divBdr>
    </w:div>
    <w:div w:id="2133553439">
      <w:bodyDiv w:val="1"/>
      <w:marLeft w:val="0"/>
      <w:marRight w:val="0"/>
      <w:marTop w:val="0"/>
      <w:marBottom w:val="0"/>
      <w:divBdr>
        <w:top w:val="none" w:sz="0" w:space="0" w:color="auto"/>
        <w:left w:val="none" w:sz="0" w:space="0" w:color="auto"/>
        <w:bottom w:val="none" w:sz="0" w:space="0" w:color="auto"/>
        <w:right w:val="none" w:sz="0" w:space="0" w:color="auto"/>
      </w:divBdr>
      <w:divsChild>
        <w:div w:id="12635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1961</TotalTime>
  <Pages>19</Pages>
  <Words>5866</Words>
  <Characters>33439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Kerrin Wilkinson GAPTC</dc:creator>
  <cp:keywords/>
  <dc:description/>
  <cp:lastModifiedBy>Kerrin Wilkinson GAPTC</cp:lastModifiedBy>
  <cp:revision>22</cp:revision>
  <dcterms:created xsi:type="dcterms:W3CDTF">2025-06-24T12:39:00Z</dcterms:created>
  <dcterms:modified xsi:type="dcterms:W3CDTF">2025-06-30T15:02:00Z</dcterms:modified>
</cp:coreProperties>
</file>